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197"/>
        <w:gridCol w:w="567"/>
        <w:gridCol w:w="457"/>
        <w:gridCol w:w="110"/>
        <w:gridCol w:w="567"/>
        <w:gridCol w:w="394"/>
        <w:gridCol w:w="151"/>
        <w:gridCol w:w="163"/>
        <w:gridCol w:w="490"/>
        <w:gridCol w:w="77"/>
        <w:gridCol w:w="710"/>
        <w:gridCol w:w="151"/>
        <w:gridCol w:w="415"/>
        <w:gridCol w:w="117"/>
        <w:gridCol w:w="280"/>
        <w:gridCol w:w="125"/>
        <w:gridCol w:w="51"/>
        <w:gridCol w:w="570"/>
        <w:gridCol w:w="317"/>
        <w:gridCol w:w="253"/>
        <w:gridCol w:w="570"/>
        <w:gridCol w:w="115"/>
        <w:gridCol w:w="692"/>
      </w:tblGrid>
      <w:tr w:rsidR="00DA49D1" w:rsidRPr="009F4352" w14:paraId="64D1BFE0" w14:textId="77777777" w:rsidTr="0039465C">
        <w:trPr>
          <w:trHeight w:val="1611"/>
        </w:trPr>
        <w:tc>
          <w:tcPr>
            <w:tcW w:w="5841" w:type="dxa"/>
            <w:gridSpan w:val="13"/>
          </w:tcPr>
          <w:p w14:paraId="48949572" w14:textId="77777777" w:rsidR="00DA49D1" w:rsidRPr="009F4352" w:rsidRDefault="00DA49D1" w:rsidP="000261AE">
            <w:pPr>
              <w:widowControl/>
              <w:autoSpaceDE/>
              <w:autoSpaceDN/>
              <w:adjustRightInd/>
              <w:spacing w:before="120" w:line="240" w:lineRule="auto"/>
              <w:ind w:hanging="45"/>
              <w:rPr>
                <w:rFonts w:eastAsia="Calibri" w:cs="Times New Roman"/>
                <w:sz w:val="22"/>
                <w:szCs w:val="22"/>
                <w:lang w:eastAsia="en-US"/>
              </w:rPr>
            </w:pPr>
            <w:bookmarkStart w:id="0" w:name="t1"/>
            <w:r w:rsidRPr="009F4352">
              <w:rPr>
                <w:rFonts w:eastAsia="Calibri" w:cs="Times New Roman"/>
                <w:b/>
                <w:sz w:val="22"/>
                <w:szCs w:val="22"/>
                <w:lang w:eastAsia="en-US"/>
              </w:rPr>
              <w:t>Nazwa projektu</w:t>
            </w:r>
          </w:p>
          <w:p w14:paraId="07361919" w14:textId="09DFF3D7" w:rsidR="00DA49D1" w:rsidRPr="009F4352" w:rsidRDefault="00DA49D1" w:rsidP="000261AE">
            <w:pPr>
              <w:widowControl/>
              <w:autoSpaceDE/>
              <w:autoSpaceDN/>
              <w:adjustRightInd/>
              <w:spacing w:line="240" w:lineRule="auto"/>
              <w:ind w:hanging="34"/>
              <w:jc w:val="both"/>
              <w:rPr>
                <w:rFonts w:eastAsia="Calibri" w:cs="Times New Roman"/>
                <w:sz w:val="22"/>
                <w:szCs w:val="22"/>
                <w:lang w:eastAsia="en-US"/>
              </w:rPr>
            </w:pPr>
            <w:r w:rsidRPr="009F4352">
              <w:rPr>
                <w:rFonts w:eastAsia="Calibri" w:cs="Times New Roman"/>
                <w:sz w:val="22"/>
                <w:szCs w:val="22"/>
                <w:lang w:eastAsia="en-US"/>
              </w:rPr>
              <w:t xml:space="preserve">Ustawa </w:t>
            </w:r>
            <w:r>
              <w:rPr>
                <w:rFonts w:eastAsia="Calibri" w:cs="Times New Roman"/>
                <w:sz w:val="22"/>
                <w:szCs w:val="22"/>
                <w:lang w:eastAsia="en-US"/>
              </w:rPr>
              <w:t xml:space="preserve">o zmianie ustawy </w:t>
            </w:r>
            <w:r w:rsidRPr="004E2A81">
              <w:rPr>
                <w:sz w:val="22"/>
                <w:szCs w:val="22"/>
              </w:rPr>
              <w:t>–</w:t>
            </w:r>
            <w:r>
              <w:rPr>
                <w:sz w:val="22"/>
                <w:szCs w:val="22"/>
              </w:rPr>
              <w:t xml:space="preserve"> </w:t>
            </w:r>
            <w:r w:rsidRPr="009F4352">
              <w:rPr>
                <w:rFonts w:eastAsia="Calibri" w:cs="Times New Roman"/>
                <w:sz w:val="22"/>
                <w:szCs w:val="22"/>
                <w:lang w:eastAsia="en-US"/>
              </w:rPr>
              <w:t xml:space="preserve">Prawo </w:t>
            </w:r>
            <w:r>
              <w:rPr>
                <w:rFonts w:eastAsia="Calibri" w:cs="Times New Roman"/>
                <w:sz w:val="22"/>
                <w:szCs w:val="22"/>
                <w:lang w:eastAsia="en-US"/>
              </w:rPr>
              <w:t>l</w:t>
            </w:r>
            <w:r w:rsidRPr="009F4352">
              <w:rPr>
                <w:rFonts w:eastAsia="Calibri" w:cs="Times New Roman"/>
                <w:sz w:val="22"/>
                <w:szCs w:val="22"/>
                <w:lang w:eastAsia="en-US"/>
              </w:rPr>
              <w:t>otnicze</w:t>
            </w:r>
            <w:r>
              <w:rPr>
                <w:rFonts w:eastAsia="Calibri" w:cs="Times New Roman"/>
                <w:sz w:val="22"/>
                <w:szCs w:val="22"/>
                <w:lang w:eastAsia="en-US"/>
              </w:rPr>
              <w:t xml:space="preserve"> oraz niektórych innych ustaw</w:t>
            </w:r>
          </w:p>
          <w:p w14:paraId="416D9006" w14:textId="77777777" w:rsidR="00DA49D1" w:rsidRPr="009F4352" w:rsidRDefault="00DA49D1" w:rsidP="000261AE">
            <w:pPr>
              <w:widowControl/>
              <w:autoSpaceDE/>
              <w:autoSpaceDN/>
              <w:adjustRightInd/>
              <w:spacing w:before="120" w:line="240" w:lineRule="auto"/>
              <w:ind w:hanging="45"/>
              <w:rPr>
                <w:rFonts w:eastAsia="Calibri" w:cs="Times New Roman"/>
                <w:b/>
                <w:sz w:val="22"/>
                <w:szCs w:val="22"/>
                <w:lang w:eastAsia="en-US"/>
              </w:rPr>
            </w:pPr>
            <w:r w:rsidRPr="009F4352">
              <w:rPr>
                <w:rFonts w:eastAsia="Calibri" w:cs="Times New Roman"/>
                <w:b/>
                <w:sz w:val="22"/>
                <w:szCs w:val="22"/>
                <w:lang w:eastAsia="en-US"/>
              </w:rPr>
              <w:t>Ministerstwo wiodące i ministerstwa współpracujące</w:t>
            </w:r>
          </w:p>
          <w:bookmarkEnd w:id="0"/>
          <w:p w14:paraId="233B1C02" w14:textId="77777777" w:rsidR="00DA49D1" w:rsidRPr="009F4352" w:rsidRDefault="00DA49D1" w:rsidP="000261AE">
            <w:pPr>
              <w:widowControl/>
              <w:autoSpaceDE/>
              <w:autoSpaceDN/>
              <w:adjustRightInd/>
              <w:spacing w:after="120" w:line="240" w:lineRule="auto"/>
              <w:ind w:hanging="34"/>
              <w:jc w:val="both"/>
              <w:rPr>
                <w:rFonts w:eastAsia="Calibri" w:cs="Times New Roman"/>
                <w:b/>
                <w:sz w:val="21"/>
                <w:szCs w:val="24"/>
                <w:lang w:eastAsia="en-US"/>
              </w:rPr>
            </w:pPr>
            <w:r w:rsidRPr="009F4352">
              <w:rPr>
                <w:rFonts w:eastAsia="Calibri" w:cs="Times New Roman"/>
                <w:sz w:val="22"/>
                <w:szCs w:val="22"/>
                <w:lang w:eastAsia="en-US"/>
              </w:rPr>
              <w:t>Ministerstwo Infrastruktury</w:t>
            </w:r>
          </w:p>
          <w:p w14:paraId="2DAE4CCC" w14:textId="7ADEE0E5" w:rsidR="00DA49D1" w:rsidRDefault="00DA49D1" w:rsidP="000261AE">
            <w:pPr>
              <w:widowControl/>
              <w:autoSpaceDE/>
              <w:autoSpaceDN/>
              <w:adjustRightInd/>
              <w:spacing w:line="240" w:lineRule="auto"/>
              <w:rPr>
                <w:rFonts w:eastAsia="Calibri" w:cs="Times New Roman"/>
                <w:b/>
                <w:sz w:val="21"/>
                <w:szCs w:val="21"/>
                <w:lang w:eastAsia="en-US"/>
              </w:rPr>
            </w:pPr>
            <w:r w:rsidRPr="009F4352">
              <w:rPr>
                <w:rFonts w:eastAsia="Calibri" w:cs="Times New Roman"/>
                <w:b/>
                <w:sz w:val="21"/>
                <w:szCs w:val="24"/>
                <w:lang w:eastAsia="en-US"/>
              </w:rPr>
              <w:t>Osoba odpowiedzialna za projekt w randze Ministra, Sekretarza Stanu lub Podsekretarza Stanu</w:t>
            </w:r>
          </w:p>
          <w:p w14:paraId="12C5004F" w14:textId="17A01600" w:rsidR="00DA49D1" w:rsidRPr="00292379" w:rsidRDefault="00AE50C0" w:rsidP="000261AE">
            <w:pPr>
              <w:widowControl/>
              <w:autoSpaceDE/>
              <w:autoSpaceDN/>
              <w:adjustRightInd/>
              <w:spacing w:line="240" w:lineRule="auto"/>
              <w:rPr>
                <w:rFonts w:eastAsia="Calibri" w:cs="Times New Roman"/>
                <w:sz w:val="21"/>
                <w:szCs w:val="21"/>
                <w:lang w:eastAsia="en-US"/>
              </w:rPr>
            </w:pPr>
            <w:r>
              <w:rPr>
                <w:rFonts w:eastAsia="Calibri" w:cs="Times New Roman"/>
                <w:sz w:val="21"/>
                <w:szCs w:val="21"/>
                <w:lang w:eastAsia="en-US"/>
              </w:rPr>
              <w:t>Andrzej Adamczyk</w:t>
            </w:r>
            <w:r w:rsidR="00DA49D1" w:rsidRPr="00292379">
              <w:rPr>
                <w:rFonts w:eastAsia="Calibri" w:cs="Times New Roman"/>
                <w:sz w:val="21"/>
                <w:szCs w:val="21"/>
                <w:lang w:eastAsia="en-US"/>
              </w:rPr>
              <w:t xml:space="preserve"> – Minister Infrastruktury</w:t>
            </w:r>
          </w:p>
          <w:p w14:paraId="2AA99424" w14:textId="77777777" w:rsidR="00DA49D1" w:rsidRPr="009F4352" w:rsidRDefault="00DA49D1" w:rsidP="000261AE">
            <w:pPr>
              <w:widowControl/>
              <w:autoSpaceDE/>
              <w:autoSpaceDN/>
              <w:adjustRightInd/>
              <w:spacing w:before="120" w:line="240" w:lineRule="auto"/>
              <w:ind w:hanging="45"/>
              <w:rPr>
                <w:rFonts w:eastAsia="Calibri" w:cs="Times New Roman"/>
                <w:b/>
                <w:sz w:val="22"/>
                <w:szCs w:val="22"/>
                <w:lang w:eastAsia="en-US"/>
              </w:rPr>
            </w:pPr>
            <w:r w:rsidRPr="009F4352">
              <w:rPr>
                <w:rFonts w:eastAsia="Calibri" w:cs="Times New Roman"/>
                <w:b/>
                <w:sz w:val="22"/>
                <w:szCs w:val="22"/>
                <w:lang w:eastAsia="en-US"/>
              </w:rPr>
              <w:t>Kontakt do opiekuna merytorycznego projektu</w:t>
            </w:r>
          </w:p>
          <w:p w14:paraId="46A500D2" w14:textId="2BEA02E4" w:rsidR="00DA49D1" w:rsidRPr="004E2A81" w:rsidRDefault="00DA49D1" w:rsidP="001822E6">
            <w:pPr>
              <w:widowControl/>
              <w:autoSpaceDE/>
              <w:autoSpaceDN/>
              <w:adjustRightInd/>
              <w:spacing w:after="120" w:line="240" w:lineRule="auto"/>
              <w:ind w:hanging="34"/>
              <w:jc w:val="both"/>
              <w:rPr>
                <w:sz w:val="22"/>
                <w:szCs w:val="22"/>
              </w:rPr>
            </w:pPr>
            <w:r w:rsidRPr="004E2A81">
              <w:rPr>
                <w:sz w:val="22"/>
                <w:szCs w:val="22"/>
              </w:rPr>
              <w:t xml:space="preserve">Magdalena Porzycka – </w:t>
            </w:r>
            <w:r>
              <w:rPr>
                <w:sz w:val="22"/>
                <w:szCs w:val="22"/>
              </w:rPr>
              <w:t>N</w:t>
            </w:r>
            <w:r w:rsidRPr="004E2A81">
              <w:rPr>
                <w:sz w:val="22"/>
                <w:szCs w:val="22"/>
              </w:rPr>
              <w:t xml:space="preserve">aczelnik </w:t>
            </w:r>
            <w:r>
              <w:rPr>
                <w:sz w:val="22"/>
                <w:szCs w:val="22"/>
              </w:rPr>
              <w:t>W</w:t>
            </w:r>
            <w:r w:rsidRPr="004E2A81">
              <w:rPr>
                <w:sz w:val="22"/>
                <w:szCs w:val="22"/>
              </w:rPr>
              <w:t xml:space="preserve">ydziału </w:t>
            </w:r>
            <w:r>
              <w:rPr>
                <w:sz w:val="22"/>
                <w:szCs w:val="22"/>
              </w:rPr>
              <w:t xml:space="preserve">Prawnego </w:t>
            </w:r>
            <w:r>
              <w:rPr>
                <w:sz w:val="22"/>
                <w:szCs w:val="22"/>
              </w:rPr>
              <w:br/>
            </w:r>
            <w:r w:rsidRPr="004E2A81">
              <w:rPr>
                <w:sz w:val="22"/>
                <w:szCs w:val="22"/>
              </w:rPr>
              <w:t xml:space="preserve">w Departamencie Lotnictwa Ministerstwa Infrastruktury </w:t>
            </w:r>
            <w:r>
              <w:rPr>
                <w:sz w:val="22"/>
                <w:szCs w:val="22"/>
              </w:rPr>
              <w:br/>
            </w:r>
            <w:r w:rsidRPr="004E2A81">
              <w:rPr>
                <w:sz w:val="22"/>
                <w:szCs w:val="22"/>
              </w:rPr>
              <w:t>(tel.: 22 630 14 47;</w:t>
            </w:r>
            <w:r>
              <w:rPr>
                <w:sz w:val="22"/>
                <w:szCs w:val="22"/>
              </w:rPr>
              <w:t xml:space="preserve"> </w:t>
            </w:r>
            <w:r w:rsidRPr="004E2A81">
              <w:rPr>
                <w:sz w:val="22"/>
                <w:szCs w:val="22"/>
              </w:rPr>
              <w:t xml:space="preserve">e-mail: </w:t>
            </w:r>
            <w:hyperlink r:id="rId11" w:history="1">
              <w:r w:rsidRPr="004E2A81">
                <w:rPr>
                  <w:rStyle w:val="Hipercze"/>
                  <w:color w:val="auto"/>
                  <w:sz w:val="22"/>
                  <w:szCs w:val="22"/>
                </w:rPr>
                <w:t>Magdalena.Porzycka@mi.gov.pl</w:t>
              </w:r>
            </w:hyperlink>
            <w:r w:rsidRPr="004E2A81">
              <w:rPr>
                <w:sz w:val="22"/>
                <w:szCs w:val="22"/>
              </w:rPr>
              <w:t>)</w:t>
            </w:r>
          </w:p>
        </w:tc>
        <w:tc>
          <w:tcPr>
            <w:tcW w:w="4366" w:type="dxa"/>
            <w:gridSpan w:val="13"/>
            <w:shd w:val="clear" w:color="auto" w:fill="FFFFFF" w:themeFill="background1"/>
          </w:tcPr>
          <w:p w14:paraId="545A65DC" w14:textId="397F84E2" w:rsidR="00AF2984" w:rsidRDefault="00DA49D1" w:rsidP="004F328B">
            <w:pPr>
              <w:widowControl/>
              <w:tabs>
                <w:tab w:val="left" w:pos="3751"/>
              </w:tabs>
              <w:autoSpaceDE/>
              <w:autoSpaceDN/>
              <w:adjustRightInd/>
              <w:spacing w:line="240" w:lineRule="auto"/>
              <w:rPr>
                <w:rFonts w:eastAsia="Calibri" w:cs="Times New Roman"/>
                <w:b/>
                <w:bCs/>
                <w:sz w:val="21"/>
                <w:szCs w:val="21"/>
                <w:lang w:eastAsia="en-US"/>
              </w:rPr>
            </w:pPr>
            <w:r w:rsidRPr="379FCEBB">
              <w:rPr>
                <w:rFonts w:eastAsia="Calibri" w:cs="Times New Roman"/>
                <w:b/>
                <w:bCs/>
                <w:sz w:val="21"/>
                <w:szCs w:val="21"/>
                <w:lang w:eastAsia="en-US"/>
              </w:rPr>
              <w:t>Data sporządzenia</w:t>
            </w:r>
            <w:r w:rsidR="00AB0843">
              <w:rPr>
                <w:rFonts w:eastAsia="Calibri" w:cs="Times New Roman"/>
                <w:b/>
                <w:bCs/>
                <w:sz w:val="21"/>
                <w:szCs w:val="21"/>
                <w:lang w:eastAsia="en-US"/>
              </w:rPr>
              <w:t>:</w:t>
            </w:r>
          </w:p>
          <w:p w14:paraId="431D46AA" w14:textId="7DAA1BDA" w:rsidR="00DA49D1" w:rsidRPr="00CE465A" w:rsidRDefault="005017DC" w:rsidP="00631D03">
            <w:pPr>
              <w:widowControl/>
              <w:tabs>
                <w:tab w:val="left" w:pos="3751"/>
              </w:tabs>
              <w:autoSpaceDE/>
              <w:autoSpaceDN/>
              <w:adjustRightInd/>
              <w:spacing w:line="240" w:lineRule="auto"/>
              <w:rPr>
                <w:rFonts w:eastAsia="Calibri" w:cs="Times New Roman"/>
                <w:sz w:val="22"/>
                <w:szCs w:val="22"/>
                <w:lang w:eastAsia="en-US"/>
              </w:rPr>
            </w:pPr>
            <w:r>
              <w:rPr>
                <w:sz w:val="22"/>
                <w:szCs w:val="22"/>
              </w:rPr>
              <w:t>14</w:t>
            </w:r>
            <w:bookmarkStart w:id="1" w:name="_GoBack"/>
            <w:bookmarkEnd w:id="1"/>
            <w:r w:rsidR="00DA49D1" w:rsidRPr="00CE465A">
              <w:rPr>
                <w:sz w:val="22"/>
                <w:szCs w:val="22"/>
              </w:rPr>
              <w:t>.</w:t>
            </w:r>
            <w:r w:rsidR="00631D03">
              <w:rPr>
                <w:sz w:val="22"/>
                <w:szCs w:val="22"/>
              </w:rPr>
              <w:t>0</w:t>
            </w:r>
            <w:r w:rsidR="00365AB9">
              <w:rPr>
                <w:sz w:val="22"/>
                <w:szCs w:val="22"/>
              </w:rPr>
              <w:t>3</w:t>
            </w:r>
            <w:r w:rsidR="00DA49D1" w:rsidRPr="00CE465A">
              <w:rPr>
                <w:rFonts w:eastAsia="Calibri" w:cs="Times New Roman"/>
                <w:sz w:val="22"/>
                <w:szCs w:val="22"/>
                <w:lang w:eastAsia="en-US"/>
              </w:rPr>
              <w:t>.202</w:t>
            </w:r>
            <w:r w:rsidR="00666354">
              <w:rPr>
                <w:rFonts w:eastAsia="Calibri" w:cs="Times New Roman"/>
                <w:sz w:val="22"/>
                <w:szCs w:val="22"/>
                <w:lang w:eastAsia="en-US"/>
              </w:rPr>
              <w:t>3</w:t>
            </w:r>
            <w:r w:rsidR="00DA49D1" w:rsidRPr="00CE465A">
              <w:rPr>
                <w:rFonts w:eastAsia="Calibri" w:cs="Times New Roman"/>
                <w:sz w:val="22"/>
                <w:szCs w:val="22"/>
                <w:lang w:eastAsia="en-US"/>
              </w:rPr>
              <w:t xml:space="preserve"> r.</w:t>
            </w:r>
          </w:p>
          <w:p w14:paraId="552CC172" w14:textId="77777777" w:rsidR="00DA49D1" w:rsidRPr="009F4352" w:rsidRDefault="00DA49D1" w:rsidP="000261AE">
            <w:pPr>
              <w:widowControl/>
              <w:autoSpaceDE/>
              <w:autoSpaceDN/>
              <w:adjustRightInd/>
              <w:spacing w:line="240" w:lineRule="auto"/>
              <w:rPr>
                <w:rFonts w:eastAsia="Calibri" w:cs="Times New Roman"/>
                <w:b/>
                <w:sz w:val="22"/>
                <w:szCs w:val="22"/>
                <w:lang w:eastAsia="en-US"/>
              </w:rPr>
            </w:pPr>
          </w:p>
          <w:p w14:paraId="31061C84" w14:textId="77777777" w:rsidR="00DA49D1" w:rsidRPr="009F4352" w:rsidRDefault="00DA49D1" w:rsidP="000261AE">
            <w:pPr>
              <w:widowControl/>
              <w:autoSpaceDE/>
              <w:autoSpaceDN/>
              <w:adjustRightInd/>
              <w:spacing w:line="240" w:lineRule="auto"/>
              <w:rPr>
                <w:rFonts w:eastAsia="Calibri" w:cs="Times New Roman"/>
                <w:b/>
                <w:sz w:val="22"/>
                <w:szCs w:val="22"/>
                <w:lang w:eastAsia="en-US"/>
              </w:rPr>
            </w:pPr>
            <w:r w:rsidRPr="009F4352">
              <w:rPr>
                <w:rFonts w:eastAsia="Calibri" w:cs="Times New Roman"/>
                <w:b/>
                <w:sz w:val="22"/>
                <w:szCs w:val="22"/>
                <w:lang w:eastAsia="en-US"/>
              </w:rPr>
              <w:t xml:space="preserve">Źródło: </w:t>
            </w:r>
            <w:bookmarkStart w:id="2" w:name="Lista1"/>
          </w:p>
          <w:bookmarkEnd w:id="2"/>
          <w:p w14:paraId="5280AF38" w14:textId="77777777" w:rsidR="00DA49D1" w:rsidRPr="009F4352" w:rsidRDefault="00DA49D1" w:rsidP="000261AE">
            <w:pPr>
              <w:widowControl/>
              <w:autoSpaceDE/>
              <w:autoSpaceDN/>
              <w:adjustRightInd/>
              <w:spacing w:line="240" w:lineRule="auto"/>
              <w:jc w:val="both"/>
              <w:rPr>
                <w:rFonts w:eastAsia="Calibri" w:cs="Times New Roman"/>
                <w:sz w:val="22"/>
                <w:szCs w:val="22"/>
                <w:lang w:eastAsia="en-US"/>
              </w:rPr>
            </w:pPr>
            <w:r>
              <w:rPr>
                <w:rFonts w:eastAsia="Calibri" w:cs="Times New Roman"/>
                <w:sz w:val="22"/>
                <w:szCs w:val="22"/>
                <w:lang w:eastAsia="en-US"/>
              </w:rPr>
              <w:t>Prawo UE</w:t>
            </w:r>
          </w:p>
          <w:p w14:paraId="2DCEEB2F" w14:textId="77777777" w:rsidR="00DA49D1" w:rsidRPr="009F4352" w:rsidRDefault="00DA49D1" w:rsidP="000261AE">
            <w:pPr>
              <w:widowControl/>
              <w:autoSpaceDE/>
              <w:autoSpaceDN/>
              <w:adjustRightInd/>
              <w:spacing w:line="240" w:lineRule="auto"/>
              <w:rPr>
                <w:rFonts w:eastAsia="Calibri" w:cs="Times New Roman"/>
                <w:sz w:val="22"/>
                <w:szCs w:val="22"/>
                <w:lang w:eastAsia="en-US"/>
              </w:rPr>
            </w:pPr>
          </w:p>
          <w:p w14:paraId="323F065B" w14:textId="05A72E35" w:rsidR="00DA49D1" w:rsidRDefault="00DA49D1" w:rsidP="00594115">
            <w:pPr>
              <w:widowControl/>
              <w:autoSpaceDE/>
              <w:autoSpaceDN/>
              <w:adjustRightInd/>
              <w:spacing w:before="120" w:line="240" w:lineRule="auto"/>
              <w:rPr>
                <w:rFonts w:eastAsia="Calibri" w:cs="Times New Roman"/>
                <w:b/>
                <w:sz w:val="22"/>
                <w:szCs w:val="22"/>
                <w:lang w:eastAsia="en-US"/>
              </w:rPr>
            </w:pPr>
            <w:r w:rsidRPr="009F4352">
              <w:rPr>
                <w:rFonts w:eastAsia="Calibri" w:cs="Times New Roman"/>
                <w:b/>
                <w:sz w:val="22"/>
                <w:szCs w:val="22"/>
                <w:lang w:eastAsia="en-US"/>
              </w:rPr>
              <w:t xml:space="preserve">Nr w </w:t>
            </w:r>
            <w:r>
              <w:rPr>
                <w:rFonts w:eastAsia="Calibri" w:cs="Times New Roman"/>
                <w:b/>
                <w:sz w:val="22"/>
                <w:szCs w:val="22"/>
                <w:lang w:eastAsia="en-US"/>
              </w:rPr>
              <w:t>W</w:t>
            </w:r>
            <w:r w:rsidRPr="009F4352">
              <w:rPr>
                <w:rFonts w:eastAsia="Calibri" w:cs="Times New Roman"/>
                <w:b/>
                <w:sz w:val="22"/>
                <w:szCs w:val="22"/>
                <w:lang w:eastAsia="en-US"/>
              </w:rPr>
              <w:t>ykazie prac legislacyjnych</w:t>
            </w:r>
            <w:r>
              <w:rPr>
                <w:rFonts w:eastAsia="Calibri" w:cs="Times New Roman"/>
                <w:b/>
                <w:sz w:val="22"/>
                <w:szCs w:val="22"/>
                <w:lang w:eastAsia="en-US"/>
              </w:rPr>
              <w:t xml:space="preserve"> </w:t>
            </w:r>
            <w:r w:rsidR="00264C5F">
              <w:rPr>
                <w:rFonts w:eastAsia="Calibri" w:cs="Times New Roman"/>
                <w:b/>
                <w:sz w:val="22"/>
                <w:szCs w:val="22"/>
                <w:lang w:eastAsia="en-US"/>
              </w:rPr>
              <w:br/>
            </w:r>
            <w:r>
              <w:rPr>
                <w:rFonts w:eastAsia="Calibri" w:cs="Times New Roman"/>
                <w:b/>
                <w:sz w:val="22"/>
                <w:szCs w:val="22"/>
                <w:lang w:eastAsia="en-US"/>
              </w:rPr>
              <w:t>i programowych</w:t>
            </w:r>
            <w:r w:rsidRPr="009F4352">
              <w:rPr>
                <w:rFonts w:eastAsia="Calibri" w:cs="Times New Roman"/>
                <w:b/>
                <w:sz w:val="22"/>
                <w:szCs w:val="22"/>
                <w:lang w:eastAsia="en-US"/>
              </w:rPr>
              <w:t xml:space="preserve"> </w:t>
            </w:r>
            <w:r>
              <w:rPr>
                <w:rFonts w:eastAsia="Calibri" w:cs="Times New Roman"/>
                <w:b/>
                <w:sz w:val="22"/>
                <w:szCs w:val="22"/>
                <w:lang w:eastAsia="en-US"/>
              </w:rPr>
              <w:t>Rady Ministrów</w:t>
            </w:r>
          </w:p>
          <w:p w14:paraId="742905D5" w14:textId="1780292A" w:rsidR="00DA49D1" w:rsidRPr="00594115" w:rsidRDefault="00DA49D1" w:rsidP="00594115">
            <w:pPr>
              <w:widowControl/>
              <w:autoSpaceDE/>
              <w:autoSpaceDN/>
              <w:adjustRightInd/>
              <w:spacing w:before="120" w:line="240" w:lineRule="auto"/>
              <w:rPr>
                <w:rFonts w:eastAsia="Calibri" w:cs="Times New Roman"/>
                <w:sz w:val="22"/>
                <w:szCs w:val="22"/>
                <w:lang w:eastAsia="en-US"/>
              </w:rPr>
            </w:pPr>
            <w:r w:rsidRPr="00C17D97">
              <w:rPr>
                <w:rFonts w:eastAsia="Calibri" w:cs="Times New Roman"/>
                <w:sz w:val="22"/>
                <w:szCs w:val="22"/>
                <w:lang w:eastAsia="en-US"/>
              </w:rPr>
              <w:t>UC89</w:t>
            </w:r>
            <w:r w:rsidR="0054392A">
              <w:rPr>
                <w:rFonts w:eastAsia="Calibri" w:cs="Times New Roman"/>
                <w:sz w:val="22"/>
                <w:szCs w:val="22"/>
                <w:lang w:eastAsia="en-US"/>
              </w:rPr>
              <w:t xml:space="preserve"> </w:t>
            </w:r>
          </w:p>
        </w:tc>
      </w:tr>
      <w:tr w:rsidR="00DA49D1" w:rsidRPr="009F4352" w14:paraId="6703B1EB" w14:textId="77777777" w:rsidTr="0039465C">
        <w:trPr>
          <w:trHeight w:val="142"/>
        </w:trPr>
        <w:tc>
          <w:tcPr>
            <w:tcW w:w="10207" w:type="dxa"/>
            <w:gridSpan w:val="26"/>
            <w:shd w:val="clear" w:color="auto" w:fill="99CCFF"/>
          </w:tcPr>
          <w:p w14:paraId="5DBAEC2F" w14:textId="77777777" w:rsidR="00DA49D1" w:rsidRPr="009F4352" w:rsidRDefault="00DA49D1" w:rsidP="000261AE">
            <w:pPr>
              <w:widowControl/>
              <w:autoSpaceDE/>
              <w:autoSpaceDN/>
              <w:adjustRightInd/>
              <w:spacing w:line="240" w:lineRule="auto"/>
              <w:ind w:left="57"/>
              <w:jc w:val="center"/>
              <w:rPr>
                <w:rFonts w:eastAsia="Calibri" w:cs="Times New Roman"/>
                <w:b/>
                <w:sz w:val="32"/>
                <w:szCs w:val="32"/>
                <w:lang w:eastAsia="en-US"/>
              </w:rPr>
            </w:pPr>
            <w:r w:rsidRPr="009F4352">
              <w:rPr>
                <w:rFonts w:eastAsia="Calibri" w:cs="Times New Roman"/>
                <w:b/>
                <w:sz w:val="32"/>
                <w:szCs w:val="32"/>
                <w:lang w:eastAsia="en-US"/>
              </w:rPr>
              <w:t>OCENA SKUTKÓW REGULACJI</w:t>
            </w:r>
          </w:p>
        </w:tc>
      </w:tr>
      <w:tr w:rsidR="00DA49D1" w:rsidRPr="009F4352" w14:paraId="4E808BC8" w14:textId="77777777" w:rsidTr="0039465C">
        <w:trPr>
          <w:trHeight w:val="333"/>
        </w:trPr>
        <w:tc>
          <w:tcPr>
            <w:tcW w:w="10207" w:type="dxa"/>
            <w:gridSpan w:val="26"/>
            <w:shd w:val="clear" w:color="auto" w:fill="99CCFF"/>
            <w:vAlign w:val="center"/>
          </w:tcPr>
          <w:p w14:paraId="13CD8553" w14:textId="77777777" w:rsidR="00DA49D1" w:rsidRPr="009F4352"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9F4352">
              <w:rPr>
                <w:rFonts w:eastAsia="Calibri" w:cs="Times New Roman"/>
                <w:b/>
                <w:sz w:val="22"/>
                <w:szCs w:val="22"/>
                <w:lang w:eastAsia="en-US"/>
              </w:rPr>
              <w:t>Jaki problem jest rozwiązywany?</w:t>
            </w:r>
            <w:bookmarkStart w:id="3" w:name="Wybór1"/>
            <w:bookmarkEnd w:id="3"/>
          </w:p>
        </w:tc>
      </w:tr>
      <w:tr w:rsidR="00DA49D1" w:rsidRPr="004547D4" w14:paraId="650FAE30" w14:textId="77777777" w:rsidTr="0039465C">
        <w:trPr>
          <w:trHeight w:val="142"/>
        </w:trPr>
        <w:tc>
          <w:tcPr>
            <w:tcW w:w="10207" w:type="dxa"/>
            <w:gridSpan w:val="26"/>
            <w:shd w:val="clear" w:color="auto" w:fill="FFFFFF" w:themeFill="background1"/>
          </w:tcPr>
          <w:p w14:paraId="347F4E33" w14:textId="2014697E" w:rsidR="00DA49D1" w:rsidRPr="004547D4" w:rsidRDefault="00DA49D1" w:rsidP="008D6213">
            <w:pPr>
              <w:spacing w:before="120" w:after="120" w:line="260" w:lineRule="exact"/>
              <w:jc w:val="both"/>
              <w:rPr>
                <w:rFonts w:cs="Times New Roman"/>
                <w:sz w:val="22"/>
                <w:szCs w:val="22"/>
              </w:rPr>
            </w:pPr>
            <w:r w:rsidRPr="004547D4">
              <w:rPr>
                <w:rFonts w:cs="Times New Roman"/>
                <w:sz w:val="22"/>
                <w:szCs w:val="22"/>
              </w:rPr>
              <w:t xml:space="preserve">W związku z </w:t>
            </w:r>
            <w:r>
              <w:rPr>
                <w:rFonts w:cs="Times New Roman"/>
                <w:sz w:val="22"/>
                <w:szCs w:val="22"/>
              </w:rPr>
              <w:t>rozpoczęciem stosowania</w:t>
            </w:r>
            <w:r w:rsidRPr="004547D4">
              <w:rPr>
                <w:rFonts w:cs="Times New Roman"/>
                <w:sz w:val="22"/>
                <w:szCs w:val="22"/>
              </w:rPr>
              <w:t xml:space="preserve"> z dniem 31 grudnia 2020 r. przepisów prawa Unii Europejskiej dotyczących  systemów bezzałogowych statków powietrznych niezbędne stało się dostosowanie ustawy z dnia 3</w:t>
            </w:r>
            <w:r w:rsidR="006056A4">
              <w:rPr>
                <w:rFonts w:cs="Times New Roman"/>
                <w:sz w:val="22"/>
                <w:szCs w:val="22"/>
              </w:rPr>
              <w:t> </w:t>
            </w:r>
            <w:r w:rsidRPr="004547D4">
              <w:rPr>
                <w:rFonts w:cs="Times New Roman"/>
                <w:sz w:val="22"/>
                <w:szCs w:val="22"/>
              </w:rPr>
              <w:t xml:space="preserve">lipca 2002 r. – Prawo lotnicze (Dz. U. z </w:t>
            </w:r>
            <w:r w:rsidR="00742927">
              <w:rPr>
                <w:rFonts w:cs="Times New Roman"/>
                <w:sz w:val="22"/>
                <w:szCs w:val="22"/>
              </w:rPr>
              <w:t>2022 r.</w:t>
            </w:r>
            <w:r w:rsidRPr="004547D4">
              <w:rPr>
                <w:rFonts w:cs="Times New Roman"/>
                <w:sz w:val="22"/>
                <w:szCs w:val="22"/>
              </w:rPr>
              <w:t xml:space="preserve"> poz. </w:t>
            </w:r>
            <w:r w:rsidR="00742927">
              <w:rPr>
                <w:rFonts w:cs="Times New Roman"/>
                <w:sz w:val="22"/>
                <w:szCs w:val="22"/>
              </w:rPr>
              <w:t>1235</w:t>
            </w:r>
            <w:r w:rsidR="009F63A3">
              <w:rPr>
                <w:rFonts w:cs="Times New Roman"/>
                <w:sz w:val="22"/>
                <w:szCs w:val="22"/>
              </w:rPr>
              <w:t>, z późn. zm.</w:t>
            </w:r>
            <w:r w:rsidRPr="004547D4">
              <w:rPr>
                <w:rFonts w:cs="Times New Roman"/>
                <w:sz w:val="22"/>
                <w:szCs w:val="22"/>
              </w:rPr>
              <w:t>), zwanej dalej „ustawą – Prawo lotnicze”, do rozwiązań zawartych w:</w:t>
            </w:r>
          </w:p>
          <w:p w14:paraId="12E7CC81" w14:textId="1FE0535E" w:rsidR="00DA49D1" w:rsidRPr="004547D4" w:rsidRDefault="00DA49D1" w:rsidP="002A7F2F">
            <w:pPr>
              <w:pStyle w:val="Akapitzlist"/>
              <w:widowControl/>
              <w:numPr>
                <w:ilvl w:val="0"/>
                <w:numId w:val="3"/>
              </w:numPr>
              <w:autoSpaceDE/>
              <w:autoSpaceDN/>
              <w:adjustRightInd/>
              <w:spacing w:before="120" w:after="120" w:line="260" w:lineRule="exact"/>
              <w:jc w:val="both"/>
              <w:rPr>
                <w:rFonts w:cs="Times New Roman"/>
                <w:sz w:val="22"/>
                <w:szCs w:val="22"/>
              </w:rPr>
            </w:pPr>
            <w:r w:rsidRPr="004547D4">
              <w:rPr>
                <w:rFonts w:cs="Times New Roman"/>
                <w:sz w:val="22"/>
                <w:szCs w:val="22"/>
              </w:rPr>
              <w:t>rozporządzeniu Parlamentu Europejskiego i Rady (UE) 2018/1139 z dnia 4 lipca 2018 r. w sprawie wspólnych zasad w dziedzinie lotnictwa cywilnego i utworzenia Agencji Unii Europejskiej ds. Bezpieczeństwa Lotniczego oraz zmieniającym rozporządzenia Parlamentu Europejskiego i Rady (WE) nr 2111/2005, (WE) nr 1008/2008, (UE) nr 996/2010, (UE) nr 376/2014 i dyrektywy Parlamentu Europejskiego i Rady 2014/30/UE i 2014/53/UE, a także uchylającym rozporządzenia Parlamentu Europejskiego i Rady (WE) nr 552/2004 i</w:t>
            </w:r>
            <w:r w:rsidR="006056A4">
              <w:rPr>
                <w:rFonts w:cs="Times New Roman"/>
                <w:sz w:val="22"/>
                <w:szCs w:val="22"/>
              </w:rPr>
              <w:t> </w:t>
            </w:r>
            <w:r w:rsidRPr="004547D4">
              <w:rPr>
                <w:rFonts w:cs="Times New Roman"/>
                <w:sz w:val="22"/>
                <w:szCs w:val="22"/>
              </w:rPr>
              <w:t>(WE) nr 216/2008 i rozporządzenie Rady (EWG) nr 3922/91 (Dz. Urz. UE. L 212 z 22.08.2018, str. 1), zwanym dalej „rozporządzeniem bazowym”;</w:t>
            </w:r>
          </w:p>
          <w:p w14:paraId="619D1966" w14:textId="5D7B0594" w:rsidR="00DA49D1" w:rsidRPr="004547D4" w:rsidRDefault="00DA49D1" w:rsidP="002A7F2F">
            <w:pPr>
              <w:pStyle w:val="Akapitzlist"/>
              <w:widowControl/>
              <w:numPr>
                <w:ilvl w:val="0"/>
                <w:numId w:val="3"/>
              </w:numPr>
              <w:autoSpaceDE/>
              <w:autoSpaceDN/>
              <w:adjustRightInd/>
              <w:spacing w:before="120" w:after="120" w:line="260" w:lineRule="exact"/>
              <w:jc w:val="both"/>
              <w:rPr>
                <w:rFonts w:cs="Times New Roman"/>
                <w:sz w:val="22"/>
                <w:szCs w:val="22"/>
              </w:rPr>
            </w:pPr>
            <w:r w:rsidRPr="004547D4">
              <w:rPr>
                <w:rFonts w:cs="Times New Roman"/>
                <w:sz w:val="22"/>
                <w:szCs w:val="22"/>
              </w:rPr>
              <w:t>rozporządzeniu delegowanym Komisji (UE) 2019/945 z dnia 12 marca 2019 r. w sprawie systemów bezzałogowych statków powietrznych oraz operatorów systemów bezzałogowych statków  powietrznych z</w:t>
            </w:r>
            <w:r w:rsidR="006056A4">
              <w:rPr>
                <w:rFonts w:cs="Times New Roman"/>
                <w:sz w:val="22"/>
                <w:szCs w:val="22"/>
              </w:rPr>
              <w:t> </w:t>
            </w:r>
            <w:r w:rsidRPr="004547D4">
              <w:rPr>
                <w:rFonts w:cs="Times New Roman"/>
                <w:sz w:val="22"/>
                <w:szCs w:val="22"/>
              </w:rPr>
              <w:t xml:space="preserve">państw trzecich (Dz. Urz. UE L 152 z 11.06.2019, str. 1, </w:t>
            </w:r>
            <w:r>
              <w:rPr>
                <w:rFonts w:cs="Times New Roman"/>
                <w:sz w:val="22"/>
                <w:szCs w:val="22"/>
              </w:rPr>
              <w:t>z późn. zm.</w:t>
            </w:r>
            <w:r w:rsidRPr="004547D4">
              <w:rPr>
                <w:rFonts w:cs="Times New Roman"/>
                <w:sz w:val="22"/>
                <w:szCs w:val="22"/>
              </w:rPr>
              <w:t>), zwanym dalej „rozporządzeniem delegowanym”;</w:t>
            </w:r>
          </w:p>
          <w:p w14:paraId="62E44228" w14:textId="67BDC1C2" w:rsidR="00DA49D1" w:rsidRPr="004547D4" w:rsidRDefault="00DA49D1" w:rsidP="002A7F2F">
            <w:pPr>
              <w:pStyle w:val="Akapitzlist"/>
              <w:widowControl/>
              <w:numPr>
                <w:ilvl w:val="0"/>
                <w:numId w:val="3"/>
              </w:numPr>
              <w:autoSpaceDE/>
              <w:autoSpaceDN/>
              <w:adjustRightInd/>
              <w:spacing w:before="120" w:after="120" w:line="260" w:lineRule="exact"/>
              <w:jc w:val="both"/>
              <w:rPr>
                <w:rFonts w:cs="Times New Roman"/>
                <w:sz w:val="22"/>
                <w:szCs w:val="22"/>
              </w:rPr>
            </w:pPr>
            <w:r w:rsidRPr="004547D4">
              <w:rPr>
                <w:rFonts w:cs="Times New Roman"/>
                <w:sz w:val="22"/>
                <w:szCs w:val="22"/>
              </w:rPr>
              <w:t xml:space="preserve">rozporządzeniu wykonawczym Komisji (UE) 2019/947 z dnia 24 maja 2019 r. w sprawie przepisów i procedur dotyczących eksploatacji bezzałogowych statków powietrznych (Dz. Urz. UE. L 152 z 11.06.2019, str. 45, </w:t>
            </w:r>
            <w:r>
              <w:rPr>
                <w:rFonts w:cs="Times New Roman"/>
                <w:sz w:val="22"/>
                <w:szCs w:val="22"/>
              </w:rPr>
              <w:t>z</w:t>
            </w:r>
            <w:r w:rsidR="006056A4">
              <w:rPr>
                <w:rFonts w:cs="Times New Roman"/>
                <w:sz w:val="22"/>
                <w:szCs w:val="22"/>
              </w:rPr>
              <w:t> </w:t>
            </w:r>
            <w:r>
              <w:rPr>
                <w:rFonts w:cs="Times New Roman"/>
                <w:sz w:val="22"/>
                <w:szCs w:val="22"/>
              </w:rPr>
              <w:t>późn. zm.</w:t>
            </w:r>
            <w:r w:rsidRPr="004547D4">
              <w:rPr>
                <w:rFonts w:cs="Times New Roman"/>
                <w:sz w:val="22"/>
                <w:szCs w:val="22"/>
              </w:rPr>
              <w:t>), zwanym dalej „rozporządzeniem wykonawczym”.</w:t>
            </w:r>
          </w:p>
          <w:p w14:paraId="69CAEC25" w14:textId="02F8D3B3" w:rsidR="00DA49D1" w:rsidRPr="004547D4" w:rsidRDefault="00DA49D1" w:rsidP="00C11A07">
            <w:pPr>
              <w:widowControl/>
              <w:autoSpaceDE/>
              <w:autoSpaceDN/>
              <w:adjustRightInd/>
              <w:spacing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Od dnia 31 grudnia 2020 r. krajowe przepisy i procedury państw członkowskich UE dotyczące cywilnych użytkowników bezzałogowych statków powietrznych (BSP) zostały zastąpione przepisami UE, z uwzględnieniem przepisów przejściowych </w:t>
            </w:r>
            <w:r>
              <w:rPr>
                <w:rFonts w:eastAsia="Calibri" w:cs="Times New Roman"/>
                <w:sz w:val="22"/>
                <w:szCs w:val="22"/>
                <w:lang w:eastAsia="en-US"/>
              </w:rPr>
              <w:t xml:space="preserve">określonych w </w:t>
            </w:r>
            <w:r w:rsidRPr="004547D4">
              <w:rPr>
                <w:rFonts w:eastAsia="Calibri" w:cs="Times New Roman"/>
                <w:sz w:val="22"/>
                <w:szCs w:val="22"/>
                <w:lang w:eastAsia="en-US"/>
              </w:rPr>
              <w:t>art.</w:t>
            </w:r>
            <w:r>
              <w:rPr>
                <w:rFonts w:eastAsia="Calibri" w:cs="Times New Roman"/>
                <w:sz w:val="22"/>
                <w:szCs w:val="22"/>
                <w:lang w:eastAsia="en-US"/>
              </w:rPr>
              <w:t xml:space="preserve"> 22 rozporządzenia wykonawczego</w:t>
            </w:r>
            <w:r w:rsidRPr="004547D4">
              <w:rPr>
                <w:rFonts w:eastAsia="Calibri" w:cs="Times New Roman"/>
                <w:sz w:val="22"/>
                <w:szCs w:val="22"/>
                <w:lang w:eastAsia="en-US"/>
              </w:rPr>
              <w:t>.</w:t>
            </w:r>
          </w:p>
          <w:p w14:paraId="22565536" w14:textId="712544F0" w:rsidR="00DA49D1" w:rsidRPr="004547D4" w:rsidRDefault="00DA49D1" w:rsidP="006056A4">
            <w:pPr>
              <w:widowControl/>
              <w:autoSpaceDE/>
              <w:autoSpaceDN/>
              <w:adjustRightInd/>
              <w:spacing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Jedną z największych zmian </w:t>
            </w:r>
            <w:r>
              <w:rPr>
                <w:rFonts w:eastAsia="Calibri" w:cs="Times New Roman"/>
                <w:sz w:val="22"/>
                <w:szCs w:val="22"/>
                <w:lang w:eastAsia="en-US"/>
              </w:rPr>
              <w:t xml:space="preserve">względem dotychczas obowiązujących w RP regulacji w przedmiotowym zakresie </w:t>
            </w:r>
            <w:r w:rsidRPr="004547D4">
              <w:rPr>
                <w:rFonts w:eastAsia="Calibri" w:cs="Times New Roman"/>
                <w:sz w:val="22"/>
                <w:szCs w:val="22"/>
                <w:lang w:eastAsia="en-US"/>
              </w:rPr>
              <w:t>jest</w:t>
            </w:r>
            <w:r>
              <w:rPr>
                <w:rFonts w:eastAsia="Calibri" w:cs="Times New Roman"/>
                <w:sz w:val="22"/>
                <w:szCs w:val="22"/>
                <w:lang w:eastAsia="en-US"/>
              </w:rPr>
              <w:t xml:space="preserve"> zastąpienie podziału</w:t>
            </w:r>
            <w:r w:rsidRPr="004547D4">
              <w:rPr>
                <w:rFonts w:eastAsia="Calibri" w:cs="Times New Roman"/>
                <w:sz w:val="22"/>
                <w:szCs w:val="22"/>
                <w:lang w:eastAsia="en-US"/>
              </w:rPr>
              <w:t xml:space="preserve"> na loty o charakterze sportowym lub rekreacyjnym oraz na loty inne niż sportowe i</w:t>
            </w:r>
            <w:r w:rsidR="006056A4">
              <w:rPr>
                <w:rFonts w:eastAsia="Calibri" w:cs="Times New Roman"/>
                <w:sz w:val="22"/>
                <w:szCs w:val="22"/>
                <w:lang w:eastAsia="en-US"/>
              </w:rPr>
              <w:t> </w:t>
            </w:r>
            <w:r w:rsidRPr="004547D4">
              <w:rPr>
                <w:rFonts w:eastAsia="Calibri" w:cs="Times New Roman"/>
                <w:sz w:val="22"/>
                <w:szCs w:val="22"/>
                <w:lang w:eastAsia="en-US"/>
              </w:rPr>
              <w:t>rekreacyjne</w:t>
            </w:r>
            <w:r>
              <w:rPr>
                <w:rFonts w:eastAsia="Calibri" w:cs="Times New Roman"/>
                <w:sz w:val="22"/>
                <w:szCs w:val="22"/>
                <w:lang w:eastAsia="en-US"/>
              </w:rPr>
              <w:t>,</w:t>
            </w:r>
            <w:r w:rsidRPr="004547D4">
              <w:rPr>
                <w:rFonts w:eastAsia="Calibri" w:cs="Times New Roman"/>
                <w:sz w:val="22"/>
                <w:szCs w:val="22"/>
                <w:lang w:eastAsia="en-US"/>
              </w:rPr>
              <w:t xml:space="preserve"> podział</w:t>
            </w:r>
            <w:r>
              <w:rPr>
                <w:rFonts w:eastAsia="Calibri" w:cs="Times New Roman"/>
                <w:sz w:val="22"/>
                <w:szCs w:val="22"/>
                <w:lang w:eastAsia="en-US"/>
              </w:rPr>
              <w:t>em</w:t>
            </w:r>
            <w:r w:rsidRPr="004547D4">
              <w:rPr>
                <w:rFonts w:eastAsia="Calibri" w:cs="Times New Roman"/>
                <w:sz w:val="22"/>
                <w:szCs w:val="22"/>
                <w:lang w:eastAsia="en-US"/>
              </w:rPr>
              <w:t xml:space="preserve"> na operacje wykonywane</w:t>
            </w:r>
            <w:r>
              <w:rPr>
                <w:rFonts w:eastAsia="Calibri" w:cs="Times New Roman"/>
                <w:sz w:val="22"/>
                <w:szCs w:val="22"/>
                <w:lang w:eastAsia="en-US"/>
              </w:rPr>
              <w:t xml:space="preserve"> w </w:t>
            </w:r>
            <w:r w:rsidRPr="004547D4">
              <w:rPr>
                <w:rFonts w:eastAsia="Calibri" w:cs="Times New Roman"/>
                <w:sz w:val="22"/>
                <w:szCs w:val="22"/>
                <w:lang w:eastAsia="en-US"/>
              </w:rPr>
              <w:t>kategorii „otwartej”, „szczególnej” i „certyfikowanej”, zgodnie z zasadami przewidzianymi w rozporządzeniu wykonawczym, urządzeniami o parametrach określonych w rozporządzeniu delegowanym. Komercyjne wykorzystywanie BSP, dotychczas możliwe jedynie dla posiadaczy świadectwa kwalifikacji operatora bezzałogowego statku powietrznego wykorzystywanego w celach innych niż rekreacyjne lub sportowe, stało się ogólnodostępne. Zmianą jest też możliwość wyznaczania</w:t>
            </w:r>
            <w:r>
              <w:rPr>
                <w:rFonts w:eastAsia="Calibri" w:cs="Times New Roman"/>
                <w:sz w:val="22"/>
                <w:szCs w:val="22"/>
                <w:lang w:eastAsia="en-US"/>
              </w:rPr>
              <w:t xml:space="preserve"> w przestrzeni powietrznej</w:t>
            </w:r>
            <w:r w:rsidRPr="004547D4">
              <w:rPr>
                <w:rFonts w:eastAsia="Calibri" w:cs="Times New Roman"/>
                <w:sz w:val="22"/>
                <w:szCs w:val="22"/>
                <w:lang w:eastAsia="en-US"/>
              </w:rPr>
              <w:t xml:space="preserve"> stref geograficznych</w:t>
            </w:r>
            <w:r w:rsidRPr="004547D4">
              <w:rPr>
                <w:rFonts w:cs="Times New Roman"/>
                <w:sz w:val="22"/>
                <w:szCs w:val="22"/>
              </w:rPr>
              <w:t xml:space="preserve">, które ułatwiają, ograniczają lub wykluczają </w:t>
            </w:r>
            <w:r>
              <w:rPr>
                <w:rFonts w:cs="Times New Roman"/>
                <w:sz w:val="22"/>
                <w:szCs w:val="22"/>
              </w:rPr>
              <w:t>wykonywanie operacji</w:t>
            </w:r>
            <w:r w:rsidRPr="004547D4">
              <w:rPr>
                <w:rFonts w:cs="Times New Roman"/>
                <w:sz w:val="22"/>
                <w:szCs w:val="22"/>
              </w:rPr>
              <w:t xml:space="preserve"> z użyciem systemów </w:t>
            </w:r>
            <w:r>
              <w:rPr>
                <w:rFonts w:cs="Times New Roman"/>
                <w:sz w:val="22"/>
                <w:szCs w:val="22"/>
              </w:rPr>
              <w:t>BSP</w:t>
            </w:r>
            <w:r w:rsidRPr="004547D4">
              <w:rPr>
                <w:rFonts w:cs="Times New Roman"/>
                <w:sz w:val="22"/>
                <w:szCs w:val="22"/>
              </w:rPr>
              <w:t xml:space="preserve">, </w:t>
            </w:r>
            <w:r>
              <w:rPr>
                <w:rFonts w:cs="Times New Roman"/>
                <w:sz w:val="22"/>
                <w:szCs w:val="22"/>
              </w:rPr>
              <w:t>w celu wyeliminowania zagrożeń związanych</w:t>
            </w:r>
            <w:r w:rsidRPr="004547D4">
              <w:rPr>
                <w:rFonts w:cs="Times New Roman"/>
                <w:sz w:val="22"/>
                <w:szCs w:val="22"/>
              </w:rPr>
              <w:t xml:space="preserve"> z bezpieczeństwem, prywatnością, ochroną danych osobowych, ochroną lub środowiskiem naturalnym</w:t>
            </w:r>
            <w:r>
              <w:rPr>
                <w:rFonts w:cs="Times New Roman"/>
                <w:sz w:val="22"/>
                <w:szCs w:val="22"/>
              </w:rPr>
              <w:t xml:space="preserve"> wynikających</w:t>
            </w:r>
            <w:r w:rsidRPr="004547D4">
              <w:rPr>
                <w:rFonts w:cs="Times New Roman"/>
                <w:sz w:val="22"/>
                <w:szCs w:val="22"/>
              </w:rPr>
              <w:t xml:space="preserve"> z</w:t>
            </w:r>
            <w:r>
              <w:rPr>
                <w:rFonts w:cs="Times New Roman"/>
                <w:sz w:val="22"/>
                <w:szCs w:val="22"/>
              </w:rPr>
              <w:t xml:space="preserve"> wykonywania</w:t>
            </w:r>
            <w:r w:rsidRPr="004547D4">
              <w:rPr>
                <w:rFonts w:cs="Times New Roman"/>
                <w:sz w:val="22"/>
                <w:szCs w:val="22"/>
              </w:rPr>
              <w:t xml:space="preserve"> operacji z użyciem tych systemów. Zadania w zakresie wyznacza</w:t>
            </w:r>
            <w:r>
              <w:rPr>
                <w:rFonts w:cs="Times New Roman"/>
                <w:sz w:val="22"/>
                <w:szCs w:val="22"/>
              </w:rPr>
              <w:t>nia stref geograficznych zostają powierzone</w:t>
            </w:r>
            <w:r w:rsidRPr="004547D4">
              <w:rPr>
                <w:rFonts w:cs="Times New Roman"/>
                <w:sz w:val="22"/>
                <w:szCs w:val="22"/>
              </w:rPr>
              <w:t xml:space="preserve"> Polskiej Agencji Żeglugi Powietrznej</w:t>
            </w:r>
            <w:r>
              <w:rPr>
                <w:rFonts w:cs="Times New Roman"/>
                <w:sz w:val="22"/>
                <w:szCs w:val="22"/>
              </w:rPr>
              <w:t xml:space="preserve"> (PAŻP)</w:t>
            </w:r>
            <w:r w:rsidRPr="004547D4">
              <w:rPr>
                <w:rFonts w:cs="Times New Roman"/>
                <w:sz w:val="22"/>
                <w:szCs w:val="22"/>
              </w:rPr>
              <w:t xml:space="preserve">. </w:t>
            </w:r>
            <w:r>
              <w:rPr>
                <w:rFonts w:cs="Times New Roman"/>
                <w:sz w:val="22"/>
                <w:szCs w:val="22"/>
              </w:rPr>
              <w:t>Zgodnie z projektowaną regulacją</w:t>
            </w:r>
            <w:r w:rsidRPr="004547D4">
              <w:rPr>
                <w:rFonts w:cs="Times New Roman"/>
                <w:sz w:val="22"/>
                <w:szCs w:val="22"/>
              </w:rPr>
              <w:t xml:space="preserve"> Prezes Urzędu Lotnictwa Cywilnego </w:t>
            </w:r>
            <w:r>
              <w:rPr>
                <w:rFonts w:cs="Times New Roman"/>
                <w:sz w:val="22"/>
                <w:szCs w:val="22"/>
              </w:rPr>
              <w:t xml:space="preserve">(Prezes ULC) </w:t>
            </w:r>
            <w:r w:rsidRPr="004547D4">
              <w:rPr>
                <w:rFonts w:cs="Times New Roman"/>
                <w:sz w:val="22"/>
                <w:szCs w:val="22"/>
              </w:rPr>
              <w:t>i</w:t>
            </w:r>
            <w:r w:rsidR="006056A4">
              <w:rPr>
                <w:rFonts w:cs="Times New Roman"/>
                <w:sz w:val="22"/>
                <w:szCs w:val="22"/>
              </w:rPr>
              <w:t> </w:t>
            </w:r>
            <w:r>
              <w:rPr>
                <w:rFonts w:cs="Times New Roman"/>
                <w:sz w:val="22"/>
                <w:szCs w:val="22"/>
              </w:rPr>
              <w:t>PAŻP</w:t>
            </w:r>
            <w:r w:rsidRPr="004547D4">
              <w:rPr>
                <w:rFonts w:cs="Times New Roman"/>
                <w:sz w:val="22"/>
                <w:szCs w:val="22"/>
              </w:rPr>
              <w:t xml:space="preserve"> </w:t>
            </w:r>
            <w:r>
              <w:rPr>
                <w:rFonts w:cs="Times New Roman"/>
                <w:sz w:val="22"/>
                <w:szCs w:val="22"/>
              </w:rPr>
              <w:t xml:space="preserve">będą </w:t>
            </w:r>
            <w:r w:rsidRPr="004547D4">
              <w:rPr>
                <w:rFonts w:cs="Times New Roman"/>
                <w:sz w:val="22"/>
                <w:szCs w:val="22"/>
              </w:rPr>
              <w:t xml:space="preserve">realizować swoje zdania w formie cyfrowej z wykorzystaniem systemu </w:t>
            </w:r>
            <w:r>
              <w:rPr>
                <w:rFonts w:cs="Times New Roman"/>
                <w:sz w:val="22"/>
                <w:szCs w:val="22"/>
              </w:rPr>
              <w:t>tele</w:t>
            </w:r>
            <w:r w:rsidRPr="004547D4">
              <w:rPr>
                <w:rFonts w:cs="Times New Roman"/>
                <w:sz w:val="22"/>
                <w:szCs w:val="22"/>
              </w:rPr>
              <w:t xml:space="preserve">informatycznego. Istotną zmianę stanowią również </w:t>
            </w:r>
            <w:r>
              <w:rPr>
                <w:rFonts w:cs="Times New Roman"/>
                <w:sz w:val="22"/>
                <w:szCs w:val="22"/>
              </w:rPr>
              <w:t>regulacje</w:t>
            </w:r>
            <w:r w:rsidRPr="004547D4">
              <w:rPr>
                <w:rFonts w:cs="Times New Roman"/>
                <w:sz w:val="22"/>
                <w:szCs w:val="22"/>
              </w:rPr>
              <w:t xml:space="preserve"> związane z wdrożeniem systemu nadzoru nad rynkiem </w:t>
            </w:r>
            <w:r>
              <w:rPr>
                <w:rFonts w:cs="Times New Roman"/>
                <w:sz w:val="22"/>
                <w:szCs w:val="22"/>
              </w:rPr>
              <w:t>BSP</w:t>
            </w:r>
            <w:r w:rsidRPr="004547D4">
              <w:rPr>
                <w:rFonts w:cs="Times New Roman"/>
                <w:sz w:val="22"/>
                <w:szCs w:val="22"/>
              </w:rPr>
              <w:t xml:space="preserve">, ustanawiające nowe zadania dla Prezesa </w:t>
            </w:r>
            <w:r>
              <w:rPr>
                <w:rFonts w:cs="Times New Roman"/>
                <w:sz w:val="22"/>
                <w:szCs w:val="22"/>
              </w:rPr>
              <w:t>ULC</w:t>
            </w:r>
            <w:r w:rsidRPr="004547D4">
              <w:rPr>
                <w:rFonts w:cs="Times New Roman"/>
                <w:sz w:val="22"/>
                <w:szCs w:val="22"/>
              </w:rPr>
              <w:t xml:space="preserve"> oraz Polskiego Centrum Akredytacji</w:t>
            </w:r>
            <w:r>
              <w:rPr>
                <w:rFonts w:cs="Times New Roman"/>
                <w:sz w:val="22"/>
                <w:szCs w:val="22"/>
              </w:rPr>
              <w:t xml:space="preserve"> (PCA)</w:t>
            </w:r>
            <w:r w:rsidRPr="004547D4">
              <w:rPr>
                <w:rFonts w:cs="Times New Roman"/>
                <w:sz w:val="22"/>
                <w:szCs w:val="22"/>
              </w:rPr>
              <w:t>. Projektowana regulacja wprowadza również mechanizmy koordynacji zadań wykonywanych w związku z w</w:t>
            </w:r>
            <w:r>
              <w:rPr>
                <w:rFonts w:cs="Times New Roman"/>
                <w:sz w:val="22"/>
                <w:szCs w:val="22"/>
              </w:rPr>
              <w:t>ejściem życie ww. rozporządzeń.</w:t>
            </w:r>
          </w:p>
        </w:tc>
      </w:tr>
      <w:tr w:rsidR="00DA49D1" w:rsidRPr="004547D4" w14:paraId="2ECBF8A8" w14:textId="77777777" w:rsidTr="0039465C">
        <w:trPr>
          <w:trHeight w:val="142"/>
        </w:trPr>
        <w:tc>
          <w:tcPr>
            <w:tcW w:w="10207" w:type="dxa"/>
            <w:gridSpan w:val="26"/>
            <w:shd w:val="clear" w:color="auto" w:fill="99CCFF"/>
            <w:vAlign w:val="center"/>
          </w:tcPr>
          <w:p w14:paraId="259A62C5"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pacing w:val="-2"/>
                <w:sz w:val="22"/>
                <w:szCs w:val="22"/>
                <w:lang w:eastAsia="en-US"/>
              </w:rPr>
              <w:t>Rekomendowane rozwiązanie, w tym planowane narzędzia interwencji, i oczekiwany efekt</w:t>
            </w:r>
          </w:p>
        </w:tc>
      </w:tr>
      <w:tr w:rsidR="00DA49D1" w:rsidRPr="004547D4" w14:paraId="792835A3" w14:textId="77777777" w:rsidTr="0039465C">
        <w:trPr>
          <w:trHeight w:val="142"/>
        </w:trPr>
        <w:tc>
          <w:tcPr>
            <w:tcW w:w="10207" w:type="dxa"/>
            <w:gridSpan w:val="26"/>
            <w:shd w:val="clear" w:color="auto" w:fill="auto"/>
          </w:tcPr>
          <w:p w14:paraId="60FB7B92" w14:textId="29E5E929" w:rsidR="00DA49D1" w:rsidRPr="001822E6" w:rsidRDefault="00DA49D1" w:rsidP="00292379">
            <w:pPr>
              <w:widowControl/>
              <w:autoSpaceDE/>
              <w:autoSpaceDN/>
              <w:adjustRightInd/>
              <w:spacing w:after="120" w:line="240" w:lineRule="auto"/>
              <w:jc w:val="both"/>
              <w:rPr>
                <w:rFonts w:eastAsia="Calibri" w:cs="Times New Roman"/>
                <w:sz w:val="22"/>
                <w:szCs w:val="22"/>
                <w:lang w:eastAsia="en-US"/>
              </w:rPr>
            </w:pPr>
            <w:r>
              <w:rPr>
                <w:rFonts w:eastAsia="Calibri" w:cs="Times New Roman"/>
                <w:spacing w:val="-2"/>
                <w:sz w:val="22"/>
                <w:szCs w:val="22"/>
                <w:lang w:eastAsia="en-US"/>
              </w:rPr>
              <w:lastRenderedPageBreak/>
              <w:t xml:space="preserve">Rekomendowanym rozwiązaniem jest zmiana prawa krajowego w celu </w:t>
            </w:r>
            <w:r w:rsidRPr="00A62BA2">
              <w:rPr>
                <w:rFonts w:eastAsia="Calibri" w:cs="Times New Roman"/>
                <w:spacing w:val="-2"/>
                <w:sz w:val="22"/>
                <w:szCs w:val="22"/>
                <w:lang w:eastAsia="en-US"/>
              </w:rPr>
              <w:t>zapewnienia stosowania przepisów rozporządzenia bazowego, rozporządzenia delegowanego i rozporządzenia wykonawczego</w:t>
            </w:r>
            <w:r>
              <w:rPr>
                <w:rFonts w:eastAsia="Calibri" w:cs="Times New Roman"/>
                <w:spacing w:val="-2"/>
                <w:sz w:val="22"/>
                <w:szCs w:val="22"/>
                <w:lang w:eastAsia="en-US"/>
              </w:rPr>
              <w:t xml:space="preserve">, </w:t>
            </w:r>
            <w:r w:rsidRPr="001822E6">
              <w:rPr>
                <w:rFonts w:eastAsia="Calibri" w:cs="Times New Roman"/>
                <w:sz w:val="22"/>
                <w:szCs w:val="22"/>
                <w:lang w:eastAsia="en-US"/>
              </w:rPr>
              <w:t>Planowanym narzędziem interwencji jest zmiana ustawy</w:t>
            </w:r>
            <w:r w:rsidR="006D6774">
              <w:rPr>
                <w:rFonts w:eastAsia="Calibri" w:cs="Times New Roman"/>
                <w:sz w:val="22"/>
                <w:szCs w:val="22"/>
                <w:lang w:eastAsia="en-US"/>
              </w:rPr>
              <w:t xml:space="preserve"> </w:t>
            </w:r>
            <w:r w:rsidRPr="001822E6">
              <w:rPr>
                <w:rFonts w:eastAsia="Calibri" w:cs="Times New Roman"/>
                <w:sz w:val="22"/>
                <w:szCs w:val="22"/>
                <w:lang w:eastAsia="en-US"/>
              </w:rPr>
              <w:t xml:space="preserve">– Prawo lotnicze, ustawy z dnia 8 grudnia 2006 r. o Polskiej Agencji Żeglugi Powietrznej (Dz. U. z </w:t>
            </w:r>
            <w:r w:rsidR="00810473">
              <w:rPr>
                <w:rFonts w:eastAsia="Calibri" w:cs="Times New Roman"/>
                <w:sz w:val="22"/>
                <w:szCs w:val="22"/>
                <w:lang w:eastAsia="en-US"/>
              </w:rPr>
              <w:t>2023</w:t>
            </w:r>
            <w:r>
              <w:rPr>
                <w:rFonts w:eastAsia="Calibri" w:cs="Times New Roman"/>
                <w:sz w:val="22"/>
                <w:szCs w:val="22"/>
                <w:lang w:eastAsia="en-US"/>
              </w:rPr>
              <w:t xml:space="preserve"> r. poz. </w:t>
            </w:r>
            <w:r w:rsidR="00810473">
              <w:rPr>
                <w:rFonts w:eastAsia="Calibri" w:cs="Times New Roman"/>
                <w:sz w:val="22"/>
                <w:szCs w:val="22"/>
                <w:lang w:eastAsia="en-US"/>
              </w:rPr>
              <w:t>191</w:t>
            </w:r>
            <w:r w:rsidRPr="001822E6">
              <w:rPr>
                <w:rFonts w:eastAsia="Calibri" w:cs="Times New Roman"/>
                <w:sz w:val="22"/>
                <w:szCs w:val="22"/>
                <w:lang w:eastAsia="en-US"/>
              </w:rPr>
              <w:t>)</w:t>
            </w:r>
            <w:r w:rsidR="006D6774">
              <w:rPr>
                <w:rFonts w:eastAsia="Calibri" w:cs="Times New Roman"/>
                <w:sz w:val="22"/>
                <w:szCs w:val="22"/>
                <w:lang w:eastAsia="en-US"/>
              </w:rPr>
              <w:t>, zwanej dalej „ustawą o PAŻP”,</w:t>
            </w:r>
            <w:r w:rsidRPr="001822E6">
              <w:rPr>
                <w:rFonts w:eastAsia="Calibri" w:cs="Times New Roman"/>
                <w:sz w:val="22"/>
                <w:szCs w:val="22"/>
                <w:lang w:eastAsia="en-US"/>
              </w:rPr>
              <w:t xml:space="preserve"> oraz w ustawy z dnia 13 kwietnia 2016 r. o systemach oceny zgodności i nadzoru rynku (Dz. U. z </w:t>
            </w:r>
            <w:r w:rsidR="00742927">
              <w:rPr>
                <w:rFonts w:eastAsia="Calibri" w:cs="Times New Roman"/>
                <w:sz w:val="22"/>
                <w:szCs w:val="22"/>
                <w:lang w:eastAsia="en-US"/>
              </w:rPr>
              <w:t>2022</w:t>
            </w:r>
            <w:r>
              <w:rPr>
                <w:rFonts w:eastAsia="Calibri" w:cs="Times New Roman"/>
                <w:sz w:val="22"/>
                <w:szCs w:val="22"/>
                <w:lang w:eastAsia="en-US"/>
              </w:rPr>
              <w:t xml:space="preserve"> r. poz. </w:t>
            </w:r>
            <w:r w:rsidR="00742927">
              <w:rPr>
                <w:rFonts w:eastAsia="Calibri" w:cs="Times New Roman"/>
                <w:sz w:val="22"/>
                <w:szCs w:val="22"/>
                <w:lang w:eastAsia="en-US"/>
              </w:rPr>
              <w:t>1854</w:t>
            </w:r>
            <w:r w:rsidRPr="001822E6">
              <w:rPr>
                <w:rFonts w:eastAsia="Calibri" w:cs="Times New Roman"/>
                <w:sz w:val="22"/>
                <w:szCs w:val="22"/>
                <w:lang w:eastAsia="en-US"/>
              </w:rPr>
              <w:t>).</w:t>
            </w:r>
          </w:p>
          <w:p w14:paraId="49FA96C8" w14:textId="77777777" w:rsidR="00DA49D1" w:rsidRPr="001822E6" w:rsidRDefault="00DA49D1" w:rsidP="008B7BA5">
            <w:pPr>
              <w:widowControl/>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W projekcie przewiduje się w szczególności:</w:t>
            </w:r>
          </w:p>
          <w:p w14:paraId="2D774C27" w14:textId="79F7A06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wskazanie organów uprawnionych do wykonywania określonych w rozporządzeniu delegowanym i</w:t>
            </w:r>
            <w:r w:rsidR="006056A4">
              <w:rPr>
                <w:rFonts w:eastAsia="Calibri" w:cs="Times New Roman"/>
                <w:sz w:val="22"/>
                <w:szCs w:val="22"/>
                <w:lang w:eastAsia="en-US"/>
              </w:rPr>
              <w:t> </w:t>
            </w:r>
            <w:r w:rsidRPr="001822E6">
              <w:rPr>
                <w:rFonts w:eastAsia="Calibri" w:cs="Times New Roman"/>
                <w:sz w:val="22"/>
                <w:szCs w:val="22"/>
                <w:lang w:eastAsia="en-US"/>
              </w:rPr>
              <w:t>rozporządzeniu wykonawczym zadań i kompetencji państwa członkowskiego i organu właściwego;</w:t>
            </w:r>
          </w:p>
          <w:p w14:paraId="54B1314F" w14:textId="13A21F13"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określenie zasad wykonywania operacji z użyciem systemów </w:t>
            </w:r>
            <w:r>
              <w:rPr>
                <w:rFonts w:eastAsia="Calibri" w:cs="Times New Roman"/>
                <w:sz w:val="22"/>
                <w:szCs w:val="22"/>
                <w:lang w:eastAsia="en-US"/>
              </w:rPr>
              <w:t>BSP</w:t>
            </w:r>
            <w:r w:rsidRPr="001822E6">
              <w:rPr>
                <w:rFonts w:eastAsia="Calibri" w:cs="Times New Roman"/>
                <w:sz w:val="22"/>
                <w:szCs w:val="22"/>
                <w:lang w:eastAsia="en-US"/>
              </w:rPr>
              <w:t>;</w:t>
            </w:r>
          </w:p>
          <w:p w14:paraId="2CBD85EF" w14:textId="70DFCBAE"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uregulowanie możliwości wyznaczania przez </w:t>
            </w:r>
            <w:r>
              <w:rPr>
                <w:rFonts w:eastAsia="Calibri" w:cs="Times New Roman"/>
                <w:sz w:val="22"/>
                <w:szCs w:val="22"/>
                <w:lang w:eastAsia="en-US"/>
              </w:rPr>
              <w:t>PAŻP</w:t>
            </w:r>
            <w:r w:rsidRPr="001822E6">
              <w:rPr>
                <w:rFonts w:eastAsia="Calibri" w:cs="Times New Roman"/>
                <w:sz w:val="22"/>
                <w:szCs w:val="22"/>
                <w:lang w:eastAsia="en-US"/>
              </w:rPr>
              <w:t xml:space="preserve"> stref geograficznych dla systemów </w:t>
            </w:r>
            <w:r>
              <w:rPr>
                <w:rFonts w:eastAsia="Calibri" w:cs="Times New Roman"/>
                <w:sz w:val="22"/>
                <w:szCs w:val="22"/>
                <w:lang w:eastAsia="en-US"/>
              </w:rPr>
              <w:t>BSP, przedłużenia obowiązywania stref geograficznych dla systemów BSP i ponownego wyznaczania stref geograficznych dla BSP, a także</w:t>
            </w:r>
            <w:r w:rsidRPr="001822E6">
              <w:rPr>
                <w:rFonts w:eastAsia="Calibri" w:cs="Times New Roman"/>
                <w:sz w:val="22"/>
                <w:szCs w:val="22"/>
                <w:lang w:eastAsia="en-US"/>
              </w:rPr>
              <w:t xml:space="preserve"> pr</w:t>
            </w:r>
            <w:r>
              <w:rPr>
                <w:rFonts w:eastAsia="Calibri" w:cs="Times New Roman"/>
                <w:sz w:val="22"/>
                <w:szCs w:val="22"/>
                <w:lang w:eastAsia="en-US"/>
              </w:rPr>
              <w:t>ocedury postępowania z wnioskami</w:t>
            </w:r>
            <w:r w:rsidRPr="001822E6">
              <w:rPr>
                <w:rFonts w:eastAsia="Calibri" w:cs="Times New Roman"/>
                <w:sz w:val="22"/>
                <w:szCs w:val="22"/>
                <w:lang w:eastAsia="en-US"/>
              </w:rPr>
              <w:t xml:space="preserve"> składanym</w:t>
            </w:r>
            <w:r>
              <w:rPr>
                <w:rFonts w:eastAsia="Calibri" w:cs="Times New Roman"/>
                <w:sz w:val="22"/>
                <w:szCs w:val="22"/>
                <w:lang w:eastAsia="en-US"/>
              </w:rPr>
              <w:t>i</w:t>
            </w:r>
            <w:r w:rsidRPr="001822E6">
              <w:rPr>
                <w:rFonts w:eastAsia="Calibri" w:cs="Times New Roman"/>
                <w:sz w:val="22"/>
                <w:szCs w:val="22"/>
                <w:lang w:eastAsia="en-US"/>
              </w:rPr>
              <w:t xml:space="preserve"> w tej sprawie;</w:t>
            </w:r>
          </w:p>
          <w:p w14:paraId="7DC7DA51" w14:textId="049FA1B6"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unormowanie rejestru operatorów systemów </w:t>
            </w:r>
            <w:r>
              <w:rPr>
                <w:rFonts w:eastAsia="Calibri" w:cs="Times New Roman"/>
                <w:sz w:val="22"/>
                <w:szCs w:val="22"/>
                <w:lang w:eastAsia="en-US"/>
              </w:rPr>
              <w:t>BSP</w:t>
            </w:r>
            <w:r w:rsidRPr="001822E6">
              <w:rPr>
                <w:rFonts w:eastAsia="Calibri" w:cs="Times New Roman"/>
                <w:sz w:val="22"/>
                <w:szCs w:val="22"/>
                <w:lang w:eastAsia="en-US"/>
              </w:rPr>
              <w:t>;</w:t>
            </w:r>
          </w:p>
          <w:p w14:paraId="770F53FA" w14:textId="4C3770C5"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określenie zasad przeprowadza</w:t>
            </w:r>
            <w:r>
              <w:rPr>
                <w:rFonts w:eastAsia="Calibri" w:cs="Times New Roman"/>
                <w:sz w:val="22"/>
                <w:szCs w:val="22"/>
                <w:lang w:eastAsia="en-US"/>
              </w:rPr>
              <w:t>nia szkoleń i egzaminów pilotów BSP</w:t>
            </w:r>
            <w:r w:rsidRPr="001822E6">
              <w:rPr>
                <w:rFonts w:eastAsia="Calibri" w:cs="Times New Roman"/>
                <w:sz w:val="22"/>
                <w:szCs w:val="22"/>
                <w:lang w:eastAsia="en-US"/>
              </w:rPr>
              <w:t>;</w:t>
            </w:r>
          </w:p>
          <w:p w14:paraId="22159615"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wskazanie dokumentów potwierdzających posiadanie kwalifikacji pilota BSP i uprawniających do wykonywania operacji BSP, a także określenie trybu ich uzyskiwania, przedłużania, zawieszania i cofania;</w:t>
            </w:r>
          </w:p>
          <w:p w14:paraId="312B6BA3" w14:textId="26E4A1F7" w:rsidR="00DA49D1"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uregulowanie zasad zapobiegania bezprawnemu wykonywaniu operacji z użyciem systemu </w:t>
            </w:r>
            <w:r>
              <w:rPr>
                <w:rFonts w:eastAsia="Calibri" w:cs="Times New Roman"/>
                <w:sz w:val="22"/>
                <w:szCs w:val="22"/>
                <w:lang w:eastAsia="en-US"/>
              </w:rPr>
              <w:t>BSP</w:t>
            </w:r>
            <w:r w:rsidRPr="001822E6">
              <w:rPr>
                <w:rFonts w:eastAsia="Calibri" w:cs="Times New Roman"/>
                <w:sz w:val="22"/>
                <w:szCs w:val="22"/>
                <w:lang w:eastAsia="en-US"/>
              </w:rPr>
              <w:t>, w tym przepisów karnych i o karach pieniężnych;</w:t>
            </w:r>
          </w:p>
          <w:p w14:paraId="69CD150B" w14:textId="66AE562A"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CA7DC01">
              <w:rPr>
                <w:rFonts w:eastAsia="Calibri" w:cs="Times New Roman"/>
                <w:sz w:val="22"/>
                <w:szCs w:val="22"/>
                <w:lang w:eastAsia="en-US"/>
              </w:rPr>
              <w:t>wskazanie wysokości stawek opłat za czynności przewidziane w projektowanej regulacji;</w:t>
            </w:r>
          </w:p>
          <w:p w14:paraId="7BAD361D" w14:textId="49352919"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CA7DC01">
              <w:rPr>
                <w:rFonts w:eastAsia="Calibri" w:cs="Times New Roman"/>
                <w:sz w:val="22"/>
                <w:szCs w:val="22"/>
                <w:lang w:eastAsia="en-US"/>
              </w:rPr>
              <w:t>ustanowienie sankcji za nieprzestrzeganie przepisów zawartych w projektowanej regulacji.</w:t>
            </w:r>
          </w:p>
          <w:p w14:paraId="31D56B4D" w14:textId="77777777" w:rsidR="00EF7B7E" w:rsidRDefault="00DA49D1" w:rsidP="006056A4">
            <w:pPr>
              <w:widowControl/>
              <w:autoSpaceDE/>
              <w:autoSpaceDN/>
              <w:adjustRightInd/>
              <w:spacing w:after="120" w:line="240" w:lineRule="auto"/>
              <w:jc w:val="both"/>
              <w:rPr>
                <w:rFonts w:eastAsia="Calibri" w:cs="Times New Roman"/>
                <w:sz w:val="22"/>
                <w:szCs w:val="22"/>
                <w:lang w:eastAsia="en-US"/>
              </w:rPr>
            </w:pPr>
            <w:r w:rsidRPr="0CA7DC01">
              <w:rPr>
                <w:rFonts w:eastAsia="Calibri" w:cs="Times New Roman"/>
                <w:sz w:val="22"/>
                <w:szCs w:val="22"/>
                <w:lang w:eastAsia="en-US"/>
              </w:rPr>
              <w:t>W wyniku wprowadzenia proponowanych zmian z prawa krajowego usunięte zostaną dotychczasowe, niespójne z regulacjami UE, przepisy dotyczące BSP, a także wprowadzone zostaną przepisy umożliwiające stosowanie obowiązujących bezpośrednio przepisów rozporządzenia bazowego, rozporządzenia delegowanego i</w:t>
            </w:r>
            <w:r w:rsidR="006056A4">
              <w:rPr>
                <w:rFonts w:eastAsia="Calibri" w:cs="Times New Roman"/>
                <w:sz w:val="22"/>
                <w:szCs w:val="22"/>
                <w:lang w:eastAsia="en-US"/>
              </w:rPr>
              <w:t> </w:t>
            </w:r>
            <w:r w:rsidRPr="0CA7DC01">
              <w:rPr>
                <w:rFonts w:eastAsia="Calibri" w:cs="Times New Roman"/>
                <w:sz w:val="22"/>
                <w:szCs w:val="22"/>
                <w:lang w:eastAsia="en-US"/>
              </w:rPr>
              <w:t xml:space="preserve">rozporządzenia wykonawczego. </w:t>
            </w:r>
          </w:p>
          <w:p w14:paraId="14115CF7" w14:textId="63823240" w:rsidR="00DA49D1" w:rsidRPr="004547D4" w:rsidRDefault="00DA49D1" w:rsidP="006056A4">
            <w:pPr>
              <w:widowControl/>
              <w:autoSpaceDE/>
              <w:autoSpaceDN/>
              <w:adjustRightInd/>
              <w:spacing w:after="120"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Brak możliwości osiągnięcia celu proje</w:t>
            </w:r>
            <w:r>
              <w:rPr>
                <w:rFonts w:eastAsia="Calibri" w:cs="Times New Roman"/>
                <w:spacing w:val="-2"/>
                <w:sz w:val="22"/>
                <w:szCs w:val="22"/>
                <w:lang w:eastAsia="en-US"/>
              </w:rPr>
              <w:t>ktu w sposób inny niż uchwalenie</w:t>
            </w:r>
            <w:r w:rsidRPr="004547D4">
              <w:rPr>
                <w:rFonts w:eastAsia="Calibri" w:cs="Times New Roman"/>
                <w:spacing w:val="-2"/>
                <w:sz w:val="22"/>
                <w:szCs w:val="22"/>
                <w:lang w:eastAsia="en-US"/>
              </w:rPr>
              <w:t xml:space="preserve"> projektowanej ustawy</w:t>
            </w:r>
            <w:r>
              <w:rPr>
                <w:rFonts w:eastAsia="Calibri" w:cs="Times New Roman"/>
                <w:spacing w:val="-2"/>
                <w:sz w:val="22"/>
                <w:szCs w:val="22"/>
                <w:lang w:eastAsia="en-US"/>
              </w:rPr>
              <w:t>.</w:t>
            </w:r>
          </w:p>
        </w:tc>
      </w:tr>
      <w:tr w:rsidR="00DA49D1" w:rsidRPr="004547D4" w14:paraId="5D8B1397" w14:textId="77777777" w:rsidTr="0039465C">
        <w:trPr>
          <w:trHeight w:val="307"/>
        </w:trPr>
        <w:tc>
          <w:tcPr>
            <w:tcW w:w="10207" w:type="dxa"/>
            <w:gridSpan w:val="26"/>
            <w:shd w:val="clear" w:color="auto" w:fill="99CCFF"/>
            <w:vAlign w:val="center"/>
          </w:tcPr>
          <w:p w14:paraId="169E9A1D"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pacing w:val="-2"/>
                <w:sz w:val="22"/>
                <w:szCs w:val="22"/>
                <w:lang w:eastAsia="en-US"/>
              </w:rPr>
              <w:t>Jak problem został rozwiązany w innych krajach, w szczególności krajach członkowskich OECD/UE</w:t>
            </w:r>
            <w:r w:rsidRPr="004547D4">
              <w:rPr>
                <w:rFonts w:eastAsia="Calibri" w:cs="Times New Roman"/>
                <w:b/>
                <w:sz w:val="22"/>
                <w:szCs w:val="22"/>
                <w:lang w:eastAsia="en-US"/>
              </w:rPr>
              <w:t>?</w:t>
            </w:r>
            <w:r w:rsidRPr="004547D4">
              <w:rPr>
                <w:rFonts w:eastAsia="Calibri" w:cs="Times New Roman"/>
                <w:i/>
                <w:sz w:val="22"/>
                <w:szCs w:val="22"/>
                <w:lang w:eastAsia="en-US"/>
              </w:rPr>
              <w:t xml:space="preserve"> </w:t>
            </w:r>
          </w:p>
        </w:tc>
      </w:tr>
      <w:tr w:rsidR="00DA49D1" w:rsidRPr="004547D4" w14:paraId="07F254BE" w14:textId="77777777" w:rsidTr="0039465C">
        <w:trPr>
          <w:trHeight w:val="142"/>
        </w:trPr>
        <w:tc>
          <w:tcPr>
            <w:tcW w:w="10207" w:type="dxa"/>
            <w:gridSpan w:val="26"/>
            <w:shd w:val="clear" w:color="auto" w:fill="auto"/>
          </w:tcPr>
          <w:p w14:paraId="3B7B6584" w14:textId="6EB3B253" w:rsidR="00DA49D1" w:rsidRPr="004547D4" w:rsidRDefault="00DA49D1" w:rsidP="006056A4">
            <w:pPr>
              <w:widowControl/>
              <w:autoSpaceDE/>
              <w:autoSpaceDN/>
              <w:adjustRightInd/>
              <w:spacing w:before="120" w:after="120"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Organy Unii Europejskiej są bardzo aktywne w obszarze wprowadzania nowych rozwiązań i przepisów w dziedzinie lotnictwa cywilnego. Jakkolwiek większość z przyjmowanych aktów to rozporządzenia, które są bezpośrednio stosowane w państwach członkowskich Unii Europejskiej, tym niemniej część rozwiązań musi być rozwinięta w</w:t>
            </w:r>
            <w:r w:rsidR="006056A4">
              <w:rPr>
                <w:rFonts w:eastAsia="Calibri" w:cs="Times New Roman"/>
                <w:spacing w:val="-2"/>
                <w:sz w:val="22"/>
                <w:szCs w:val="22"/>
                <w:lang w:eastAsia="en-US"/>
              </w:rPr>
              <w:t> </w:t>
            </w:r>
            <w:r w:rsidRPr="004547D4">
              <w:rPr>
                <w:rFonts w:eastAsia="Calibri" w:cs="Times New Roman"/>
                <w:spacing w:val="-2"/>
                <w:sz w:val="22"/>
                <w:szCs w:val="22"/>
                <w:lang w:eastAsia="en-US"/>
              </w:rPr>
              <w:t>ramach szczegółowych przepisów prawa krajowego. Niniejsza nowelizacja ma na celu wdrożenie takich rozwiązań.</w:t>
            </w:r>
          </w:p>
        </w:tc>
      </w:tr>
      <w:tr w:rsidR="00DA49D1" w:rsidRPr="004547D4" w14:paraId="69D32E6A" w14:textId="77777777" w:rsidTr="0039465C">
        <w:trPr>
          <w:trHeight w:val="359"/>
        </w:trPr>
        <w:tc>
          <w:tcPr>
            <w:tcW w:w="10207" w:type="dxa"/>
            <w:gridSpan w:val="26"/>
            <w:shd w:val="clear" w:color="auto" w:fill="99CCFF"/>
            <w:vAlign w:val="center"/>
          </w:tcPr>
          <w:p w14:paraId="76A9C40D"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Podmioty, na które oddziałuje projekt</w:t>
            </w:r>
          </w:p>
        </w:tc>
      </w:tr>
      <w:tr w:rsidR="00DA49D1" w:rsidRPr="004547D4" w14:paraId="5716046D" w14:textId="77777777" w:rsidTr="0039465C">
        <w:trPr>
          <w:trHeight w:val="142"/>
        </w:trPr>
        <w:tc>
          <w:tcPr>
            <w:tcW w:w="2668" w:type="dxa"/>
            <w:gridSpan w:val="3"/>
            <w:shd w:val="clear" w:color="auto" w:fill="auto"/>
          </w:tcPr>
          <w:p w14:paraId="65A896E9"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Grupa</w:t>
            </w:r>
          </w:p>
        </w:tc>
        <w:tc>
          <w:tcPr>
            <w:tcW w:w="2292" w:type="dxa"/>
            <w:gridSpan w:val="6"/>
            <w:shd w:val="clear" w:color="auto" w:fill="auto"/>
          </w:tcPr>
          <w:p w14:paraId="0FB252E5"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Wielkość</w:t>
            </w:r>
          </w:p>
        </w:tc>
        <w:tc>
          <w:tcPr>
            <w:tcW w:w="2554" w:type="dxa"/>
            <w:gridSpan w:val="9"/>
            <w:shd w:val="clear" w:color="auto" w:fill="auto"/>
          </w:tcPr>
          <w:p w14:paraId="4722E465"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Źródło danych</w:t>
            </w:r>
            <w:r w:rsidRPr="004547D4" w:rsidDel="00260F33">
              <w:rPr>
                <w:rFonts w:eastAsia="Calibri" w:cs="Times New Roman"/>
                <w:spacing w:val="-2"/>
                <w:sz w:val="22"/>
                <w:szCs w:val="22"/>
                <w:lang w:eastAsia="en-US"/>
              </w:rPr>
              <w:t xml:space="preserve"> </w:t>
            </w:r>
          </w:p>
        </w:tc>
        <w:tc>
          <w:tcPr>
            <w:tcW w:w="2693" w:type="dxa"/>
            <w:gridSpan w:val="8"/>
            <w:shd w:val="clear" w:color="auto" w:fill="auto"/>
          </w:tcPr>
          <w:p w14:paraId="20A0E24A"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Oddziaływanie</w:t>
            </w:r>
          </w:p>
        </w:tc>
      </w:tr>
      <w:tr w:rsidR="00DA49D1" w:rsidRPr="004547D4" w14:paraId="3146426E" w14:textId="77777777" w:rsidTr="0039465C">
        <w:trPr>
          <w:trHeight w:val="142"/>
        </w:trPr>
        <w:tc>
          <w:tcPr>
            <w:tcW w:w="2668" w:type="dxa"/>
            <w:gridSpan w:val="3"/>
            <w:shd w:val="clear" w:color="auto" w:fill="auto"/>
          </w:tcPr>
          <w:p w14:paraId="02B4B7BF" w14:textId="371250B6" w:rsidR="00DA49D1" w:rsidRPr="004547D4" w:rsidRDefault="00DA49D1" w:rsidP="00BB5134">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rPr>
              <w:t xml:space="preserve">Prezes </w:t>
            </w:r>
            <w:r>
              <w:rPr>
                <w:rFonts w:eastAsia="Calibri" w:cs="Times New Roman"/>
                <w:sz w:val="22"/>
                <w:szCs w:val="22"/>
              </w:rPr>
              <w:t>ULC</w:t>
            </w:r>
          </w:p>
        </w:tc>
        <w:tc>
          <w:tcPr>
            <w:tcW w:w="2292" w:type="dxa"/>
            <w:gridSpan w:val="6"/>
            <w:shd w:val="clear" w:color="auto" w:fill="auto"/>
          </w:tcPr>
          <w:p w14:paraId="69F9CE4F" w14:textId="77777777" w:rsidR="00DA49D1" w:rsidRPr="004547D4" w:rsidRDefault="00DA49D1" w:rsidP="00EA255C">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rPr>
              <w:t>1</w:t>
            </w:r>
          </w:p>
        </w:tc>
        <w:tc>
          <w:tcPr>
            <w:tcW w:w="2554" w:type="dxa"/>
            <w:gridSpan w:val="9"/>
            <w:shd w:val="clear" w:color="auto" w:fill="auto"/>
          </w:tcPr>
          <w:p w14:paraId="2F6CA82F" w14:textId="492C68B7" w:rsidR="00DA49D1" w:rsidRPr="004547D4" w:rsidRDefault="00DA49D1" w:rsidP="00D4161A">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rPr>
              <w:t xml:space="preserve">Ustawa </w:t>
            </w:r>
            <w:r>
              <w:rPr>
                <w:rFonts w:eastAsia="Calibri" w:cs="Times New Roman"/>
                <w:spacing w:val="-2"/>
                <w:sz w:val="22"/>
                <w:szCs w:val="22"/>
              </w:rPr>
              <w:t>−</w:t>
            </w:r>
            <w:r w:rsidRPr="004547D4">
              <w:rPr>
                <w:rFonts w:eastAsia="Calibri" w:cs="Times New Roman"/>
                <w:spacing w:val="-2"/>
                <w:sz w:val="22"/>
                <w:szCs w:val="22"/>
              </w:rPr>
              <w:t xml:space="preserve"> Prawo lotnicze</w:t>
            </w:r>
          </w:p>
        </w:tc>
        <w:tc>
          <w:tcPr>
            <w:tcW w:w="2693" w:type="dxa"/>
            <w:gridSpan w:val="8"/>
            <w:shd w:val="clear" w:color="auto" w:fill="auto"/>
          </w:tcPr>
          <w:p w14:paraId="767CEABD" w14:textId="542297C9" w:rsidR="00DA49D1" w:rsidRPr="004547D4" w:rsidRDefault="00DA49D1" w:rsidP="00D61420">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rPr>
              <w:t xml:space="preserve">Zgodnie z art. 21 ust. 1 ustawy </w:t>
            </w:r>
            <w:r w:rsidRPr="004E2A81">
              <w:rPr>
                <w:sz w:val="22"/>
                <w:szCs w:val="22"/>
              </w:rPr>
              <w:t>–</w:t>
            </w:r>
            <w:r w:rsidRPr="004547D4">
              <w:rPr>
                <w:rFonts w:eastAsia="Calibri" w:cs="Times New Roman"/>
                <w:spacing w:val="-2"/>
                <w:sz w:val="22"/>
                <w:szCs w:val="22"/>
              </w:rPr>
              <w:t xml:space="preserve"> Prawo lotnicze do kompetencji Prezesa ULC należą wszystkie sprawy związane z lotnictwem cywilnym. Oddziaływanie – nowe kompetencje i zadania.  </w:t>
            </w:r>
          </w:p>
        </w:tc>
      </w:tr>
      <w:tr w:rsidR="00DA49D1" w:rsidRPr="004547D4" w14:paraId="615D5DFC" w14:textId="77777777" w:rsidTr="0039465C">
        <w:trPr>
          <w:trHeight w:val="142"/>
        </w:trPr>
        <w:tc>
          <w:tcPr>
            <w:tcW w:w="2668" w:type="dxa"/>
            <w:gridSpan w:val="3"/>
            <w:shd w:val="clear" w:color="auto" w:fill="auto"/>
          </w:tcPr>
          <w:p w14:paraId="6F6F53D8" w14:textId="68242329"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Minister Infrastruktury </w:t>
            </w:r>
          </w:p>
        </w:tc>
        <w:tc>
          <w:tcPr>
            <w:tcW w:w="2292" w:type="dxa"/>
            <w:gridSpan w:val="6"/>
            <w:shd w:val="clear" w:color="auto" w:fill="auto"/>
          </w:tcPr>
          <w:p w14:paraId="1CF0762A" w14:textId="05884CA0" w:rsidR="00DA49D1" w:rsidRPr="004547D4" w:rsidRDefault="00DA49D1" w:rsidP="00C54027">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1</w:t>
            </w:r>
          </w:p>
        </w:tc>
        <w:tc>
          <w:tcPr>
            <w:tcW w:w="2554" w:type="dxa"/>
            <w:gridSpan w:val="9"/>
            <w:shd w:val="clear" w:color="auto" w:fill="auto"/>
          </w:tcPr>
          <w:p w14:paraId="26ED8C50" w14:textId="33EA2A9E" w:rsidR="00DA49D1"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Ustawa – Prawo lotnicze</w:t>
            </w:r>
            <w:r>
              <w:rPr>
                <w:rFonts w:eastAsia="Calibri" w:cs="Times New Roman"/>
                <w:spacing w:val="-2"/>
                <w:sz w:val="22"/>
                <w:szCs w:val="22"/>
              </w:rPr>
              <w:t>;</w:t>
            </w:r>
          </w:p>
          <w:p w14:paraId="4FF1E3ED" w14:textId="01836BEB" w:rsidR="00DA49D1" w:rsidRPr="00BB5134" w:rsidRDefault="00DA49D1" w:rsidP="00070D05">
            <w:pPr>
              <w:widowControl/>
              <w:autoSpaceDE/>
              <w:autoSpaceDN/>
              <w:adjustRightInd/>
              <w:spacing w:line="240" w:lineRule="auto"/>
              <w:jc w:val="both"/>
              <w:rPr>
                <w:rFonts w:eastAsia="Calibri" w:cs="Times New Roman"/>
                <w:spacing w:val="-2"/>
                <w:sz w:val="22"/>
                <w:szCs w:val="22"/>
              </w:rPr>
            </w:pPr>
            <w:r>
              <w:rPr>
                <w:rFonts w:cs="TimesNewRomanPSMT"/>
                <w:sz w:val="22"/>
                <w:szCs w:val="22"/>
              </w:rPr>
              <w:t>r</w:t>
            </w:r>
            <w:r w:rsidRPr="00BB5134">
              <w:rPr>
                <w:rFonts w:cs="TimesNewRomanPSMT"/>
                <w:sz w:val="22"/>
                <w:szCs w:val="22"/>
              </w:rPr>
              <w:t xml:space="preserve">ozporządzenie Prezesa Rady Ministrów z dnia 18 listopada 2019 r. w sprawie szczegółowego zakresu działania Ministra Infrastruktury (Dz. U. </w:t>
            </w:r>
            <w:r>
              <w:rPr>
                <w:rFonts w:cs="TimesNewRomanPSMT"/>
                <w:sz w:val="22"/>
                <w:szCs w:val="22"/>
              </w:rPr>
              <w:t>z 2021 r. poz. 937</w:t>
            </w:r>
            <w:r w:rsidRPr="00BB5134">
              <w:rPr>
                <w:rFonts w:cs="TimesNewRomanPSMT"/>
                <w:sz w:val="22"/>
                <w:szCs w:val="22"/>
              </w:rPr>
              <w:t>)</w:t>
            </w:r>
          </w:p>
        </w:tc>
        <w:tc>
          <w:tcPr>
            <w:tcW w:w="2693" w:type="dxa"/>
            <w:gridSpan w:val="8"/>
            <w:shd w:val="clear" w:color="auto" w:fill="auto"/>
          </w:tcPr>
          <w:p w14:paraId="43DDC3F9" w14:textId="623BF453"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Zgodnie  z art. 16 ust. 1 i ust. 2 ustawy – Prawo lotnicze  minister właściwy do spraw transportu jest naczelnym organem administracji rządowej właściwym w sprawach lotnictwa cywilnego,</w:t>
            </w:r>
            <w:r>
              <w:rPr>
                <w:rFonts w:eastAsia="Calibri" w:cs="Times New Roman"/>
                <w:spacing w:val="-2"/>
                <w:sz w:val="22"/>
                <w:szCs w:val="22"/>
              </w:rPr>
              <w:t xml:space="preserve"> a</w:t>
            </w:r>
            <w:r w:rsidRPr="004547D4">
              <w:rPr>
                <w:rFonts w:eastAsia="Calibri" w:cs="Times New Roman"/>
                <w:spacing w:val="-2"/>
                <w:sz w:val="22"/>
                <w:szCs w:val="22"/>
              </w:rPr>
              <w:t xml:space="preserve"> także sprawuje nadzór nad polskim lotnictwem cywilnym w zakresie ustalonym ww. ustawie oraz w przepisach innych ustaw i umów międzynarodowych. </w:t>
            </w:r>
          </w:p>
          <w:p w14:paraId="0DC1DD8F" w14:textId="4C746169" w:rsidR="00DA49D1" w:rsidRPr="004547D4" w:rsidRDefault="00DA49D1" w:rsidP="00023F29">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Oddziaływanie – rozszerzenie zakresu nadzoru nad Prezesem ULC i PAŻP w związku nowymi kompetencjami</w:t>
            </w:r>
            <w:r>
              <w:rPr>
                <w:rFonts w:eastAsia="Calibri" w:cs="Times New Roman"/>
                <w:spacing w:val="-2"/>
                <w:sz w:val="22"/>
                <w:szCs w:val="22"/>
              </w:rPr>
              <w:t xml:space="preserve"> i zadaniami Prezesa ULC i PAŻP, a także nowe zadania w zakresie udzielania PAŻP dotacji na pokrycie kosztów związanych z utrzymaniem</w:t>
            </w:r>
            <w:r w:rsidR="00023F29">
              <w:rPr>
                <w:rFonts w:eastAsia="Calibri" w:cs="Times New Roman"/>
                <w:spacing w:val="-2"/>
                <w:sz w:val="22"/>
                <w:szCs w:val="22"/>
              </w:rPr>
              <w:t xml:space="preserve"> trwałości projektu „Usługi cyfrowe dla bezzałogowych statków powietrznych”</w:t>
            </w:r>
            <w:r>
              <w:rPr>
                <w:rFonts w:eastAsia="Calibri" w:cs="Times New Roman"/>
                <w:spacing w:val="-2"/>
                <w:sz w:val="22"/>
                <w:szCs w:val="22"/>
              </w:rPr>
              <w:t>.</w:t>
            </w:r>
          </w:p>
        </w:tc>
      </w:tr>
      <w:tr w:rsidR="00DA49D1" w:rsidRPr="004547D4" w14:paraId="6B97633F"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55EB7EBD" w14:textId="414F4ECD"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PAŻP</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4669EB9B"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1</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68807611" w14:textId="5EA966F1" w:rsidR="00DA49D1" w:rsidRPr="004547D4" w:rsidRDefault="00DA49D1" w:rsidP="006D6774">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 xml:space="preserve">Ustawa o </w:t>
            </w:r>
            <w:r w:rsidR="006D6774">
              <w:rPr>
                <w:rFonts w:eastAsia="Calibri" w:cs="Times New Roman"/>
                <w:spacing w:val="-2"/>
                <w:sz w:val="22"/>
                <w:szCs w:val="22"/>
              </w:rPr>
              <w:t>PAŻP</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233E656F" w14:textId="23DF131B"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 xml:space="preserve">Zgodnie z art. 3 ust. 1 pkt 3 ustawy o </w:t>
            </w:r>
            <w:r w:rsidR="006D6774">
              <w:rPr>
                <w:rFonts w:eastAsia="Calibri" w:cs="Times New Roman"/>
                <w:spacing w:val="-2"/>
                <w:sz w:val="22"/>
                <w:szCs w:val="22"/>
              </w:rPr>
              <w:t xml:space="preserve">PAŻP, </w:t>
            </w:r>
            <w:r w:rsidRPr="004547D4">
              <w:rPr>
                <w:rFonts w:eastAsia="Calibri" w:cs="Times New Roman"/>
                <w:spacing w:val="-2"/>
                <w:sz w:val="22"/>
                <w:szCs w:val="22"/>
              </w:rPr>
              <w:t>PAŻP zapewnia bezpieczną, ciągłą, płynną i efektywną żeglugę powietrzną w polskiej przestrzeni powietrznej przez wykonywanie funkcji instytucji zapewniających służby żeglugi powietrznej, zarządzanie przestrzenią powietrzną oraz zarządzanie przepływem ruchu lotniczego zgodnie z przepisami Prawa lotniczego.</w:t>
            </w:r>
          </w:p>
          <w:p w14:paraId="2BC62572" w14:textId="3104CCC4"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 xml:space="preserve">Oddziaływanie – nowe kompetencje i zadania.  </w:t>
            </w:r>
          </w:p>
        </w:tc>
      </w:tr>
      <w:tr w:rsidR="00176E14" w:rsidRPr="004547D4" w14:paraId="1663CB6F"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699A4172" w14:textId="0A0E486E" w:rsidR="00176E14" w:rsidRDefault="00176E14" w:rsidP="00C54027">
            <w:pPr>
              <w:widowControl/>
              <w:autoSpaceDE/>
              <w:autoSpaceDN/>
              <w:adjustRightInd/>
              <w:spacing w:line="240" w:lineRule="auto"/>
              <w:rPr>
                <w:rFonts w:eastAsia="Calibri" w:cs="Times New Roman"/>
                <w:sz w:val="22"/>
                <w:szCs w:val="22"/>
              </w:rPr>
            </w:pPr>
            <w:r>
              <w:rPr>
                <w:rFonts w:eastAsia="Calibri" w:cs="Times New Roman"/>
                <w:sz w:val="22"/>
                <w:szCs w:val="22"/>
              </w:rPr>
              <w:t>Sądy powszechne</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7E754065" w14:textId="77777777" w:rsidR="00176E14" w:rsidRPr="00176E14" w:rsidRDefault="00176E14" w:rsidP="00176E14">
            <w:pPr>
              <w:widowControl/>
              <w:autoSpaceDE/>
              <w:autoSpaceDN/>
              <w:adjustRightInd/>
              <w:spacing w:line="240" w:lineRule="auto"/>
              <w:rPr>
                <w:rFonts w:eastAsia="Calibri" w:cs="Times New Roman"/>
                <w:spacing w:val="-2"/>
                <w:sz w:val="22"/>
                <w:szCs w:val="22"/>
              </w:rPr>
            </w:pPr>
            <w:r w:rsidRPr="00176E14">
              <w:rPr>
                <w:rFonts w:eastAsia="Calibri" w:cs="Times New Roman"/>
                <w:spacing w:val="-2"/>
                <w:sz w:val="22"/>
                <w:szCs w:val="22"/>
              </w:rPr>
              <w:t>11 sądów apelacyjnych</w:t>
            </w:r>
          </w:p>
          <w:p w14:paraId="73346870" w14:textId="77777777" w:rsidR="00176E14" w:rsidRPr="00176E14" w:rsidRDefault="00176E14" w:rsidP="00176E14">
            <w:pPr>
              <w:widowControl/>
              <w:autoSpaceDE/>
              <w:autoSpaceDN/>
              <w:adjustRightInd/>
              <w:spacing w:line="240" w:lineRule="auto"/>
              <w:rPr>
                <w:rFonts w:eastAsia="Calibri" w:cs="Times New Roman"/>
                <w:spacing w:val="-2"/>
                <w:sz w:val="22"/>
                <w:szCs w:val="22"/>
              </w:rPr>
            </w:pPr>
            <w:r w:rsidRPr="00176E14">
              <w:rPr>
                <w:rFonts w:eastAsia="Calibri" w:cs="Times New Roman"/>
                <w:spacing w:val="-2"/>
                <w:sz w:val="22"/>
                <w:szCs w:val="22"/>
              </w:rPr>
              <w:t>46 sądów okręgowych</w:t>
            </w:r>
          </w:p>
          <w:p w14:paraId="5DCD9611" w14:textId="3C97735E" w:rsidR="00176E14" w:rsidRPr="004547D4" w:rsidRDefault="00176E14" w:rsidP="00176E14">
            <w:pPr>
              <w:widowControl/>
              <w:autoSpaceDE/>
              <w:autoSpaceDN/>
              <w:adjustRightInd/>
              <w:spacing w:line="240" w:lineRule="auto"/>
              <w:jc w:val="both"/>
              <w:rPr>
                <w:rFonts w:eastAsia="Calibri" w:cs="Times New Roman"/>
                <w:spacing w:val="-2"/>
                <w:sz w:val="22"/>
                <w:szCs w:val="22"/>
              </w:rPr>
            </w:pPr>
            <w:r w:rsidRPr="00176E14">
              <w:rPr>
                <w:rFonts w:eastAsia="Calibri" w:cs="Times New Roman"/>
                <w:spacing w:val="-2"/>
                <w:sz w:val="22"/>
                <w:szCs w:val="22"/>
              </w:rPr>
              <w:t>318 sądów rejonowych.</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3302FA58" w14:textId="01FB87E4" w:rsidR="00176E14" w:rsidRPr="004547D4" w:rsidRDefault="00176E14" w:rsidP="00EF7B7E">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 xml:space="preserve">Ustawa </w:t>
            </w:r>
            <w:r w:rsidRPr="00176E14">
              <w:rPr>
                <w:rFonts w:eastAsia="Calibri" w:cs="Times New Roman"/>
                <w:spacing w:val="-2"/>
                <w:sz w:val="22"/>
                <w:szCs w:val="22"/>
              </w:rPr>
              <w:t xml:space="preserve">z dnia 27 lipca 2001 r. </w:t>
            </w:r>
            <w:r w:rsidR="00EF7B7E">
              <w:rPr>
                <w:rFonts w:eastAsia="Calibri" w:cs="Times New Roman"/>
                <w:spacing w:val="-2"/>
                <w:sz w:val="22"/>
                <w:szCs w:val="22"/>
              </w:rPr>
              <w:sym w:font="Symbol" w:char="F02D"/>
            </w:r>
            <w:r w:rsidRPr="00176E14">
              <w:rPr>
                <w:rFonts w:eastAsia="Calibri" w:cs="Times New Roman"/>
                <w:spacing w:val="-2"/>
                <w:sz w:val="22"/>
                <w:szCs w:val="22"/>
              </w:rPr>
              <w:t xml:space="preserve"> Prawo o ustroju sądów powszechnych (Dz.</w:t>
            </w:r>
            <w:r w:rsidR="00EF7B7E">
              <w:rPr>
                <w:rFonts w:eastAsia="Calibri" w:cs="Times New Roman"/>
                <w:spacing w:val="-2"/>
                <w:sz w:val="22"/>
                <w:szCs w:val="22"/>
              </w:rPr>
              <w:t xml:space="preserve"> </w:t>
            </w:r>
            <w:r w:rsidRPr="00176E14">
              <w:rPr>
                <w:rFonts w:eastAsia="Calibri" w:cs="Times New Roman"/>
                <w:spacing w:val="-2"/>
                <w:sz w:val="22"/>
                <w:szCs w:val="22"/>
              </w:rPr>
              <w:t xml:space="preserve">U. z </w:t>
            </w:r>
            <w:r w:rsidR="00742927">
              <w:rPr>
                <w:rFonts w:eastAsia="Calibri" w:cs="Times New Roman"/>
                <w:spacing w:val="-2"/>
                <w:sz w:val="22"/>
                <w:szCs w:val="22"/>
              </w:rPr>
              <w:t>2023 r. poz. 217</w:t>
            </w:r>
            <w:r w:rsidR="00EF7B7E">
              <w:rPr>
                <w:rFonts w:eastAsia="Calibri" w:cs="Times New Roman"/>
                <w:spacing w:val="-2"/>
                <w:sz w:val="22"/>
                <w:szCs w:val="22"/>
              </w:rPr>
              <w:t>, z późn. zm.</w:t>
            </w:r>
            <w:r w:rsidRPr="00176E14">
              <w:rPr>
                <w:rFonts w:eastAsia="Calibri" w:cs="Times New Roman"/>
                <w:spacing w:val="-2"/>
                <w:sz w:val="22"/>
                <w:szCs w:val="22"/>
              </w:rPr>
              <w:t xml:space="preserve">) </w:t>
            </w:r>
            <w:r>
              <w:rPr>
                <w:rFonts w:eastAsia="Calibri" w:cs="Times New Roman"/>
                <w:spacing w:val="-2"/>
                <w:sz w:val="22"/>
                <w:szCs w:val="22"/>
              </w:rPr>
              <w:t xml:space="preserve"> oraz r</w:t>
            </w:r>
            <w:r w:rsidRPr="00176E14">
              <w:rPr>
                <w:rFonts w:eastAsia="Calibri" w:cs="Times New Roman"/>
                <w:spacing w:val="-2"/>
                <w:sz w:val="22"/>
                <w:szCs w:val="22"/>
              </w:rPr>
              <w:t>ozporządzenie Ministra Sprawiedliwości z dnia 28 grudnia 2018 r. w sprawie ustalenia siedzib i obszarów właściwości sądów apelacyjnych, sądów okręgowych i sądów rejonowych oraz zakresu rozpoznawanych przez nie spraw (Dz.</w:t>
            </w:r>
            <w:r w:rsidR="00F71C6A">
              <w:rPr>
                <w:rFonts w:eastAsia="Calibri" w:cs="Times New Roman"/>
                <w:spacing w:val="-2"/>
                <w:sz w:val="22"/>
                <w:szCs w:val="22"/>
              </w:rPr>
              <w:t xml:space="preserve"> </w:t>
            </w:r>
            <w:r w:rsidRPr="00176E14">
              <w:rPr>
                <w:rFonts w:eastAsia="Calibri" w:cs="Times New Roman"/>
                <w:spacing w:val="-2"/>
                <w:sz w:val="22"/>
                <w:szCs w:val="22"/>
              </w:rPr>
              <w:t xml:space="preserve">U. z </w:t>
            </w:r>
            <w:r w:rsidR="00F71C6A">
              <w:rPr>
                <w:rFonts w:eastAsia="Calibri" w:cs="Times New Roman"/>
                <w:spacing w:val="-2"/>
                <w:sz w:val="22"/>
                <w:szCs w:val="22"/>
              </w:rPr>
              <w:t>2023 r. poz. 125</w:t>
            </w:r>
            <w:r w:rsidRPr="00176E14">
              <w:rPr>
                <w:rFonts w:eastAsia="Calibri" w:cs="Times New Roman"/>
                <w:spacing w:val="-2"/>
                <w:sz w:val="22"/>
                <w:szCs w:val="22"/>
              </w:rPr>
              <w:t>)</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7690AE61" w14:textId="304D4A9E" w:rsidR="009A14C1" w:rsidRPr="009A14C1" w:rsidRDefault="009A14C1" w:rsidP="00176E14">
            <w:pPr>
              <w:widowControl/>
              <w:autoSpaceDE/>
              <w:autoSpaceDN/>
              <w:adjustRightInd/>
              <w:spacing w:line="240" w:lineRule="auto"/>
              <w:rPr>
                <w:rFonts w:eastAsia="Calibri" w:cs="Times New Roman"/>
                <w:spacing w:val="-2"/>
                <w:sz w:val="22"/>
                <w:szCs w:val="22"/>
              </w:rPr>
            </w:pPr>
            <w:r>
              <w:rPr>
                <w:rFonts w:cs="Times New Roman"/>
                <w:sz w:val="22"/>
                <w:szCs w:val="22"/>
              </w:rPr>
              <w:t>Zwiększenie</w:t>
            </w:r>
            <w:r w:rsidRPr="009A14C1">
              <w:rPr>
                <w:rFonts w:cs="Times New Roman"/>
                <w:sz w:val="22"/>
                <w:szCs w:val="22"/>
              </w:rPr>
              <w:t xml:space="preserve"> liczb</w:t>
            </w:r>
            <w:r>
              <w:rPr>
                <w:rFonts w:cs="Times New Roman"/>
                <w:sz w:val="22"/>
                <w:szCs w:val="22"/>
              </w:rPr>
              <w:t>y</w:t>
            </w:r>
            <w:r w:rsidRPr="009A14C1">
              <w:rPr>
                <w:rFonts w:cs="Times New Roman"/>
                <w:sz w:val="22"/>
                <w:szCs w:val="22"/>
              </w:rPr>
              <w:t xml:space="preserve"> spraw trafiających do sądów</w:t>
            </w:r>
            <w:r>
              <w:rPr>
                <w:rFonts w:cs="Times New Roman"/>
                <w:sz w:val="22"/>
                <w:szCs w:val="22"/>
              </w:rPr>
              <w:t xml:space="preserve"> w związku z wprowadzeniem nowych typów</w:t>
            </w:r>
            <w:r w:rsidRPr="009A14C1">
              <w:rPr>
                <w:rFonts w:cs="Times New Roman"/>
                <w:sz w:val="22"/>
                <w:szCs w:val="22"/>
              </w:rPr>
              <w:t xml:space="preserve"> wykroczeń, tj. wykonanie lotu z użyciem systemu bezzałogowego statku powietrznego niezgodnie z zasadami i warunkami operacyjnymi wykonywania takich lotów oraz nieprzestrzeganie przepisów dotyczących rejestru operatorów oraz rejestru statków wbrew art. 14 rozporządzenia nr 2019/947/UE, będąc operatorem systemu bezzałogowego statku powietrznego.</w:t>
            </w:r>
          </w:p>
          <w:p w14:paraId="144AD897" w14:textId="168DB123" w:rsidR="00176E14" w:rsidRPr="004547D4" w:rsidRDefault="00176E14" w:rsidP="00176E14">
            <w:pPr>
              <w:widowControl/>
              <w:autoSpaceDE/>
              <w:autoSpaceDN/>
              <w:adjustRightInd/>
              <w:spacing w:line="240" w:lineRule="auto"/>
              <w:rPr>
                <w:rFonts w:eastAsia="Calibri" w:cs="Times New Roman"/>
                <w:spacing w:val="-2"/>
                <w:sz w:val="22"/>
                <w:szCs w:val="22"/>
              </w:rPr>
            </w:pPr>
          </w:p>
        </w:tc>
      </w:tr>
      <w:tr w:rsidR="00DA49D1" w:rsidRPr="004547D4" w14:paraId="66F0E1D7"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9C76A1D" w14:textId="78BA37E5"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PCA</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623EA8AF"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1</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18DA2CB9" w14:textId="2F713A63" w:rsidR="00DA49D1" w:rsidRPr="004547D4" w:rsidRDefault="00DA49D1" w:rsidP="001021EC">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 xml:space="preserve">Ustawa z dnia 13 kwietnia 2016 r. </w:t>
            </w:r>
            <w:r>
              <w:rPr>
                <w:rFonts w:eastAsia="Calibri" w:cs="Times New Roman"/>
                <w:spacing w:val="-2"/>
                <w:sz w:val="22"/>
                <w:szCs w:val="22"/>
              </w:rPr>
              <w:t>o systemach oceny zgodności i nadzoru rynku</w:t>
            </w:r>
            <w:r w:rsidRPr="004547D4">
              <w:rPr>
                <w:rFonts w:eastAsia="Calibri" w:cs="Times New Roman"/>
                <w:spacing w:val="-2"/>
                <w:sz w:val="22"/>
                <w:szCs w:val="22"/>
              </w:rPr>
              <w:t xml:space="preserve"> </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04F2854F" w14:textId="551F8868" w:rsidR="00DA49D1" w:rsidRPr="004547D4" w:rsidRDefault="00DA49D1" w:rsidP="00BB5134">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Organ który zgodnie z, ustawą o systemach oceny zgodności i nadzoru runku jest krajową jednostką akredytującą w RP. Oddziaływanie –</w:t>
            </w:r>
            <w:r>
              <w:rPr>
                <w:rFonts w:eastAsia="Calibri" w:cs="Times New Roman"/>
                <w:spacing w:val="-2"/>
                <w:sz w:val="22"/>
                <w:szCs w:val="22"/>
              </w:rPr>
              <w:t xml:space="preserve"> </w:t>
            </w:r>
            <w:r w:rsidRPr="004547D4">
              <w:rPr>
                <w:rFonts w:eastAsia="Calibri" w:cs="Times New Roman"/>
                <w:spacing w:val="-2"/>
                <w:sz w:val="22"/>
                <w:szCs w:val="22"/>
              </w:rPr>
              <w:t xml:space="preserve">nowe kompetencje i zadania. </w:t>
            </w:r>
          </w:p>
        </w:tc>
      </w:tr>
      <w:tr w:rsidR="00DA49D1" w:rsidRPr="004547D4" w14:paraId="57170887"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4214F382" w14:textId="7297CF0A"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Dowódca Operacyjny Rodzajów Sił Zbrojnych; </w:t>
            </w:r>
          </w:p>
          <w:p w14:paraId="38CEAC7A"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Komendant Główny Żandarmerii Wojskowej;</w:t>
            </w:r>
          </w:p>
          <w:p w14:paraId="6BBB8D86"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Szef Szefostwa Służb Ruchu Lotniczego Sił Zbrojnych Rzeczypospolitej Polskiej;</w:t>
            </w:r>
          </w:p>
          <w:p w14:paraId="15313948"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Szef Agencji Bezpieczeństwa Wewnętrznego;</w:t>
            </w:r>
          </w:p>
          <w:p w14:paraId="1C6F2C57" w14:textId="0EAF4BE0"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Szef Agencji Wywiadu;</w:t>
            </w:r>
            <w:r w:rsidR="003B2E91">
              <w:rPr>
                <w:rFonts w:eastAsia="Calibri" w:cs="Times New Roman"/>
                <w:sz w:val="22"/>
                <w:szCs w:val="22"/>
              </w:rPr>
              <w:t xml:space="preserve"> Szef Centralnego Biura Antykorupcyjnego;</w:t>
            </w:r>
            <w:r w:rsidRPr="004547D4">
              <w:rPr>
                <w:rFonts w:eastAsia="Calibri" w:cs="Times New Roman"/>
                <w:sz w:val="22"/>
                <w:szCs w:val="22"/>
              </w:rPr>
              <w:t xml:space="preserve"> </w:t>
            </w:r>
            <w:r w:rsidR="009F63A3">
              <w:rPr>
                <w:rFonts w:eastAsia="Calibri" w:cs="Times New Roman"/>
                <w:sz w:val="22"/>
                <w:szCs w:val="22"/>
              </w:rPr>
              <w:t>Szef Służby Kontrwywiadu Wojskowego, Szef Służby Wywiadu Wojskowego</w:t>
            </w:r>
          </w:p>
          <w:p w14:paraId="7004CD62"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Główny Policji; </w:t>
            </w:r>
          </w:p>
          <w:p w14:paraId="03482942"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Główny Straży Granicznej; </w:t>
            </w:r>
          </w:p>
          <w:p w14:paraId="026377D0"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Szef Krajowej Administracji Skarbowej; </w:t>
            </w:r>
          </w:p>
          <w:p w14:paraId="3CF807D5"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Służby Ochrony Państwa; </w:t>
            </w:r>
          </w:p>
          <w:p w14:paraId="125159BB"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Główny Państwowej Straży Pożarnej; </w:t>
            </w:r>
          </w:p>
          <w:p w14:paraId="55EC2796"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Dyrektor Rządowego Centrum Bezpieczeństwa;</w:t>
            </w:r>
          </w:p>
          <w:p w14:paraId="5FB7785C" w14:textId="275EF083"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w</w:t>
            </w:r>
            <w:r w:rsidRPr="004547D4">
              <w:rPr>
                <w:rFonts w:eastAsia="Calibri" w:cs="Times New Roman"/>
                <w:sz w:val="22"/>
                <w:szCs w:val="22"/>
              </w:rPr>
              <w:t xml:space="preserve">łaściwi ministrowie; </w:t>
            </w:r>
          </w:p>
          <w:p w14:paraId="4D73E7FE" w14:textId="77777777" w:rsidR="00EF7B7E"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k</w:t>
            </w:r>
            <w:r w:rsidRPr="004547D4">
              <w:rPr>
                <w:rFonts w:eastAsia="Calibri" w:cs="Times New Roman"/>
                <w:sz w:val="22"/>
                <w:szCs w:val="22"/>
              </w:rPr>
              <w:t>ierownicy urzędów centralnych</w:t>
            </w:r>
            <w:r>
              <w:rPr>
                <w:rFonts w:eastAsia="Calibri" w:cs="Times New Roman"/>
                <w:sz w:val="22"/>
                <w:szCs w:val="22"/>
              </w:rPr>
              <w:t>; Państwowa Komisja Badania Wypadków Lotniczych</w:t>
            </w:r>
            <w:r w:rsidR="00F7743A">
              <w:rPr>
                <w:rFonts w:eastAsia="Calibri" w:cs="Times New Roman"/>
                <w:sz w:val="22"/>
                <w:szCs w:val="22"/>
              </w:rPr>
              <w:t>; Dyrektor Generalny Lasów Państwowych</w:t>
            </w:r>
            <w:r w:rsidR="00EF7B7E">
              <w:rPr>
                <w:rFonts w:eastAsia="Calibri" w:cs="Times New Roman"/>
                <w:sz w:val="22"/>
                <w:szCs w:val="22"/>
              </w:rPr>
              <w:t>;</w:t>
            </w:r>
          </w:p>
          <w:p w14:paraId="1408C332" w14:textId="67444926" w:rsidR="00DA49D1" w:rsidRDefault="00F7743A" w:rsidP="00C54027">
            <w:pPr>
              <w:widowControl/>
              <w:autoSpaceDE/>
              <w:autoSpaceDN/>
              <w:adjustRightInd/>
              <w:spacing w:line="240" w:lineRule="auto"/>
              <w:rPr>
                <w:rFonts w:eastAsia="Calibri" w:cs="Times New Roman"/>
                <w:sz w:val="22"/>
                <w:szCs w:val="22"/>
              </w:rPr>
            </w:pPr>
            <w:r>
              <w:rPr>
                <w:rFonts w:eastAsia="Calibri" w:cs="Times New Roman"/>
                <w:sz w:val="22"/>
                <w:szCs w:val="22"/>
              </w:rPr>
              <w:t>Prezes Wodnego Ochotniczego Pogotowia Ratunkowego</w:t>
            </w:r>
            <w:r w:rsidR="00EF7B7E">
              <w:rPr>
                <w:rFonts w:eastAsia="Calibri" w:cs="Times New Roman"/>
                <w:sz w:val="22"/>
                <w:szCs w:val="22"/>
              </w:rPr>
              <w:t>;</w:t>
            </w:r>
          </w:p>
          <w:p w14:paraId="048A3B61" w14:textId="41B734FC" w:rsidR="00EF7B7E" w:rsidRDefault="00F7743A" w:rsidP="00C54027">
            <w:pPr>
              <w:widowControl/>
              <w:autoSpaceDE/>
              <w:autoSpaceDN/>
              <w:adjustRightInd/>
              <w:spacing w:line="240" w:lineRule="auto"/>
              <w:rPr>
                <w:rFonts w:eastAsia="Calibri" w:cs="Times New Roman"/>
                <w:sz w:val="22"/>
                <w:szCs w:val="22"/>
              </w:rPr>
            </w:pPr>
            <w:r>
              <w:rPr>
                <w:rFonts w:eastAsia="Calibri" w:cs="Times New Roman"/>
                <w:sz w:val="22"/>
                <w:szCs w:val="22"/>
              </w:rPr>
              <w:t>Prezes Górskiego Ochotniczego Pogotowia Ratunkowego</w:t>
            </w:r>
            <w:r w:rsidR="00EF7B7E">
              <w:rPr>
                <w:rFonts w:eastAsia="Calibri" w:cs="Times New Roman"/>
                <w:sz w:val="22"/>
                <w:szCs w:val="22"/>
              </w:rPr>
              <w:t>;</w:t>
            </w:r>
            <w:r>
              <w:rPr>
                <w:rFonts w:eastAsia="Calibri" w:cs="Times New Roman"/>
                <w:sz w:val="22"/>
                <w:szCs w:val="22"/>
              </w:rPr>
              <w:t xml:space="preserve"> </w:t>
            </w:r>
          </w:p>
          <w:p w14:paraId="1C915D95" w14:textId="4614B1A2" w:rsidR="00F7743A" w:rsidRPr="004547D4" w:rsidRDefault="00F7743A" w:rsidP="00C54027">
            <w:pPr>
              <w:widowControl/>
              <w:autoSpaceDE/>
              <w:autoSpaceDN/>
              <w:adjustRightInd/>
              <w:spacing w:line="240" w:lineRule="auto"/>
              <w:rPr>
                <w:rFonts w:eastAsia="Calibri" w:cs="Times New Roman"/>
                <w:sz w:val="22"/>
                <w:szCs w:val="22"/>
              </w:rPr>
            </w:pPr>
            <w:r>
              <w:rPr>
                <w:rFonts w:eastAsia="Calibri" w:cs="Times New Roman"/>
                <w:sz w:val="22"/>
                <w:szCs w:val="22"/>
              </w:rPr>
              <w:t>Prezes Tatrzańskiego Ochotniczego Pogotowia Ratunkowego</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0FBFCFC9"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około 50 podmiotów</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4C92FD67" w14:textId="77777777" w:rsidR="00DA49D1" w:rsidRPr="004547D4" w:rsidRDefault="00DA49D1" w:rsidP="00C54027">
            <w:pPr>
              <w:widowControl/>
              <w:autoSpaceDE/>
              <w:autoSpaceDN/>
              <w:adjustRightInd/>
              <w:spacing w:line="240" w:lineRule="auto"/>
              <w:rPr>
                <w:rFonts w:eastAsia="Calibri" w:cs="Times New Roman"/>
                <w:b/>
                <w:bCs/>
                <w:spacing w:val="-2"/>
                <w:sz w:val="22"/>
                <w:szCs w:val="22"/>
              </w:rPr>
            </w:pPr>
            <w:r w:rsidRPr="004547D4">
              <w:rPr>
                <w:rFonts w:eastAsia="Calibri" w:cs="Times New Roman"/>
                <w:spacing w:val="-2"/>
                <w:sz w:val="22"/>
                <w:szCs w:val="22"/>
              </w:rPr>
              <w:t>Ogólne</w:t>
            </w:r>
          </w:p>
          <w:p w14:paraId="3E1038C7"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5A343B05" w14:textId="1A3C62ED" w:rsidR="00DA49D1" w:rsidRDefault="00DA49D1" w:rsidP="0025556E">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Stosowanie nowych zasad przy wykonywaniu operacji z użyciem systemu BSP, określonych w projektowanej regulacji.</w:t>
            </w:r>
          </w:p>
          <w:p w14:paraId="2CF948CB" w14:textId="2CAC70AE" w:rsidR="00DA49D1" w:rsidRDefault="00DA49D1" w:rsidP="0025556E">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 xml:space="preserve">Umożliwienie składania wniosków o wprowadzenie stref geograficznych dla BSP w celu wyznaczenia strefy geograficznej dla BSP. </w:t>
            </w:r>
          </w:p>
          <w:p w14:paraId="48D2B92E" w14:textId="6C5B13F8" w:rsidR="00DA49D1" w:rsidRPr="004547D4" w:rsidRDefault="00DA49D1" w:rsidP="0025556E">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 xml:space="preserve">Ułatwienie działań lub czynności o szczególnym znaczeniu operacyjnym lub rozpoznawczym służącym zapienieniu bezpieczeństwa państwa lub porządku publicznego oraz umożliwienie ochrony terenów poprzez </w:t>
            </w:r>
            <w:r w:rsidRPr="00D2293E">
              <w:rPr>
                <w:rFonts w:eastAsia="Calibri" w:cs="Times New Roman"/>
                <w:spacing w:val="-2"/>
                <w:sz w:val="22"/>
                <w:szCs w:val="22"/>
              </w:rPr>
              <w:t>wyznaczenie strefy geograficznej dla BSP.</w:t>
            </w:r>
          </w:p>
        </w:tc>
      </w:tr>
      <w:tr w:rsidR="00DA49D1" w:rsidRPr="004547D4" w14:paraId="6E1F3E96"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9AF15AF" w14:textId="47BA1E0E"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Organy jednostek samorządu terytorialnego: organy gminy</w:t>
            </w:r>
            <w:r>
              <w:rPr>
                <w:rFonts w:eastAsia="Calibri" w:cs="Times New Roman"/>
                <w:sz w:val="22"/>
                <w:szCs w:val="22"/>
              </w:rPr>
              <w:t>,</w:t>
            </w:r>
            <w:r w:rsidRPr="004547D4">
              <w:rPr>
                <w:rFonts w:eastAsia="Calibri" w:cs="Times New Roman"/>
                <w:sz w:val="22"/>
                <w:szCs w:val="22"/>
              </w:rPr>
              <w:t xml:space="preserve"> </w:t>
            </w:r>
          </w:p>
          <w:p w14:paraId="3CDFB0F8" w14:textId="5B4AF176"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organy powiatu</w:t>
            </w:r>
            <w:r>
              <w:rPr>
                <w:rFonts w:eastAsia="Calibri" w:cs="Times New Roman"/>
                <w:sz w:val="22"/>
                <w:szCs w:val="22"/>
              </w:rPr>
              <w:t>,</w:t>
            </w:r>
            <w:r w:rsidRPr="004547D4">
              <w:rPr>
                <w:rFonts w:eastAsia="Calibri" w:cs="Times New Roman"/>
                <w:sz w:val="22"/>
                <w:szCs w:val="22"/>
              </w:rPr>
              <w:t xml:space="preserve"> </w:t>
            </w:r>
          </w:p>
          <w:p w14:paraId="261A6F22" w14:textId="255C0C66"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organy samorządu województwa</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5F26286B"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16 województw</w:t>
            </w:r>
          </w:p>
          <w:p w14:paraId="55E96C22"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314 powiatów</w:t>
            </w:r>
          </w:p>
          <w:p w14:paraId="76E63754"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2 477 gmin</w:t>
            </w:r>
          </w:p>
          <w:p w14:paraId="78E58FB1" w14:textId="30F6DED5" w:rsidR="00DA49D1" w:rsidRPr="004547D4" w:rsidRDefault="00DA49D1" w:rsidP="00C54027">
            <w:pPr>
              <w:widowControl/>
              <w:autoSpaceDE/>
              <w:autoSpaceDN/>
              <w:adjustRightInd/>
              <w:spacing w:line="240" w:lineRule="auto"/>
              <w:rPr>
                <w:rFonts w:eastAsia="Calibri" w:cs="Times New Roman"/>
                <w:spacing w:val="-2"/>
                <w:sz w:val="22"/>
                <w:szCs w:val="22"/>
              </w:rPr>
            </w:pP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19C67503" w14:textId="77777777" w:rsidR="00DA49D1" w:rsidRPr="004547D4" w:rsidRDefault="00DA49D1" w:rsidP="00C54027">
            <w:pPr>
              <w:widowControl/>
              <w:autoSpaceDE/>
              <w:autoSpaceDN/>
              <w:adjustRightInd/>
              <w:spacing w:line="240" w:lineRule="auto"/>
              <w:rPr>
                <w:rFonts w:eastAsia="Calibri" w:cs="Times New Roman"/>
                <w:b/>
                <w:bCs/>
                <w:spacing w:val="-2"/>
                <w:sz w:val="22"/>
                <w:szCs w:val="22"/>
              </w:rPr>
            </w:pPr>
            <w:r w:rsidRPr="004547D4">
              <w:rPr>
                <w:rFonts w:eastAsia="Calibri" w:cs="Times New Roman"/>
                <w:spacing w:val="-2"/>
                <w:sz w:val="22"/>
                <w:szCs w:val="22"/>
              </w:rPr>
              <w:t>Ogólne</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1BD878DD" w14:textId="7B5DDE1C"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Umożliwienie</w:t>
            </w:r>
            <w:r w:rsidRPr="004547D4">
              <w:rPr>
                <w:rFonts w:eastAsia="Calibri" w:cs="Times New Roman"/>
                <w:spacing w:val="-2"/>
                <w:sz w:val="22"/>
                <w:szCs w:val="22"/>
              </w:rPr>
              <w:t xml:space="preserve"> składania wniosków o wyznaczenie stref geograficznych dla BSP.</w:t>
            </w:r>
          </w:p>
          <w:p w14:paraId="6013DF3D" w14:textId="60E15E09"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 xml:space="preserve">Umożliwienie działań lub usług będących pod </w:t>
            </w:r>
            <w:r w:rsidR="00072270">
              <w:rPr>
                <w:rFonts w:eastAsia="Calibri" w:cs="Times New Roman"/>
                <w:spacing w:val="-2"/>
                <w:sz w:val="22"/>
                <w:szCs w:val="22"/>
              </w:rPr>
              <w:t>kontrolą i wchodzących w </w:t>
            </w:r>
            <w:r w:rsidRPr="004547D4">
              <w:rPr>
                <w:rFonts w:eastAsia="Calibri" w:cs="Times New Roman"/>
                <w:spacing w:val="-2"/>
                <w:sz w:val="22"/>
                <w:szCs w:val="22"/>
              </w:rPr>
              <w:t xml:space="preserve">zakres odpowiedzialności organów samorządu terytorialnego, podejmowanych </w:t>
            </w:r>
          </w:p>
          <w:p w14:paraId="6D83A35E" w14:textId="24B6BC88" w:rsidR="00DA49D1" w:rsidRPr="004547D4" w:rsidRDefault="00DA49D1" w:rsidP="0025556E">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w interesie publicznym przez organ samorządu terytorialnego lub w jego imieniu,</w:t>
            </w:r>
            <w:r>
              <w:rPr>
                <w:rFonts w:eastAsia="Calibri" w:cs="Times New Roman"/>
                <w:spacing w:val="-2"/>
                <w:sz w:val="22"/>
                <w:szCs w:val="22"/>
              </w:rPr>
              <w:t xml:space="preserve"> z użyciem systemów </w:t>
            </w:r>
            <w:r w:rsidRPr="004547D4">
              <w:rPr>
                <w:rFonts w:eastAsia="Calibri" w:cs="Times New Roman"/>
                <w:spacing w:val="-2"/>
                <w:sz w:val="22"/>
                <w:szCs w:val="22"/>
              </w:rPr>
              <w:t>BPS.</w:t>
            </w:r>
          </w:p>
        </w:tc>
      </w:tr>
      <w:tr w:rsidR="00DA49D1" w:rsidRPr="004547D4" w14:paraId="6BD9514F"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047FFDE6" w14:textId="7500F9BD"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Zarządzający</w:t>
            </w:r>
            <w:r>
              <w:rPr>
                <w:rFonts w:eastAsia="Calibri" w:cs="Times New Roman"/>
                <w:sz w:val="22"/>
                <w:szCs w:val="22"/>
              </w:rPr>
              <w:t xml:space="preserve"> lotniskiem; zgłaszający lądowisko;</w:t>
            </w:r>
          </w:p>
          <w:p w14:paraId="3D3C0A11" w14:textId="2051E01B"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w:t>
            </w:r>
            <w:r w:rsidRPr="004547D4">
              <w:rPr>
                <w:rFonts w:eastAsia="Calibri" w:cs="Times New Roman"/>
                <w:sz w:val="22"/>
                <w:szCs w:val="22"/>
              </w:rPr>
              <w:t>odmioty zarządzające terenami górniczymi;</w:t>
            </w:r>
          </w:p>
          <w:p w14:paraId="435AF9C7" w14:textId="000F39B3"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z</w:t>
            </w:r>
            <w:r w:rsidRPr="004547D4">
              <w:rPr>
                <w:rFonts w:eastAsia="Calibri" w:cs="Times New Roman"/>
                <w:sz w:val="22"/>
                <w:szCs w:val="22"/>
              </w:rPr>
              <w:t>arządzający portem lub przystanią morską;</w:t>
            </w:r>
          </w:p>
          <w:p w14:paraId="142D2BB3" w14:textId="6325479A"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w:t>
            </w:r>
            <w:r w:rsidRPr="004547D4">
              <w:rPr>
                <w:rFonts w:eastAsia="Calibri" w:cs="Times New Roman"/>
                <w:sz w:val="22"/>
                <w:szCs w:val="22"/>
              </w:rPr>
              <w:t>rzedsiębiorstwa energetyczne;</w:t>
            </w:r>
          </w:p>
          <w:p w14:paraId="7B1D4E31" w14:textId="327A551B" w:rsidR="00EF5718"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z</w:t>
            </w:r>
            <w:r w:rsidRPr="004547D4">
              <w:rPr>
                <w:rFonts w:eastAsia="Calibri" w:cs="Times New Roman"/>
                <w:sz w:val="22"/>
                <w:szCs w:val="22"/>
              </w:rPr>
              <w:t>arządcy infrastruktury w rozumieniu przepisów ustaw</w:t>
            </w:r>
            <w:r>
              <w:rPr>
                <w:rFonts w:eastAsia="Calibri" w:cs="Times New Roman"/>
                <w:sz w:val="22"/>
                <w:szCs w:val="22"/>
              </w:rPr>
              <w:t xml:space="preserve">y </w:t>
            </w:r>
            <w:r w:rsidR="00EF5718">
              <w:rPr>
                <w:rFonts w:eastAsia="Calibri" w:cs="Times New Roman"/>
                <w:sz w:val="22"/>
                <w:szCs w:val="22"/>
              </w:rPr>
              <w:t xml:space="preserve">z dnia 28 marca 2003 r. </w:t>
            </w:r>
            <w:r>
              <w:rPr>
                <w:rFonts w:eastAsia="Calibri" w:cs="Times New Roman"/>
                <w:sz w:val="22"/>
                <w:szCs w:val="22"/>
              </w:rPr>
              <w:t>o transporcie kolejowym</w:t>
            </w:r>
            <w:r w:rsidR="00EF5718">
              <w:rPr>
                <w:rFonts w:eastAsia="Calibri" w:cs="Times New Roman"/>
                <w:sz w:val="22"/>
                <w:szCs w:val="22"/>
              </w:rPr>
              <w:t xml:space="preserve"> </w:t>
            </w:r>
            <w:r w:rsidR="00EF5718" w:rsidRPr="00EF5718">
              <w:rPr>
                <w:rFonts w:eastAsia="Calibri" w:cs="Times New Roman"/>
                <w:sz w:val="22"/>
                <w:szCs w:val="22"/>
              </w:rPr>
              <w:t xml:space="preserve">(Dz. U. z </w:t>
            </w:r>
            <w:r w:rsidR="00EF5718" w:rsidRPr="005017DC">
              <w:rPr>
                <w:sz w:val="22"/>
                <w:szCs w:val="22"/>
              </w:rPr>
              <w:t>2021 r. poz. 1984, z późn. zm.)</w:t>
            </w:r>
            <w:r>
              <w:rPr>
                <w:rFonts w:eastAsia="Calibri" w:cs="Times New Roman"/>
                <w:sz w:val="22"/>
                <w:szCs w:val="22"/>
              </w:rPr>
              <w:t xml:space="preserve">; </w:t>
            </w:r>
          </w:p>
          <w:p w14:paraId="23F234CA" w14:textId="2E4D9641"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dyrektorzy parków narodowych</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1DDFFD28" w14:textId="5CEA38FA" w:rsidR="00DA49D1"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64 lotniska cywilne</w:t>
            </w:r>
          </w:p>
          <w:p w14:paraId="2098C2E3" w14:textId="1A30D026"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455 lądowiska</w:t>
            </w:r>
          </w:p>
          <w:p w14:paraId="34FF9DDB"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30 podmiotów górniczych</w:t>
            </w:r>
          </w:p>
          <w:p w14:paraId="4D57A87C"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32 porty morskie i 49 przystani morskich</w:t>
            </w:r>
          </w:p>
          <w:p w14:paraId="36E7734A"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15 podmiotów (grup) energetycznych</w:t>
            </w:r>
          </w:p>
          <w:p w14:paraId="490E9BED" w14:textId="77777777" w:rsidR="00DA49D1"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15 podmiotów kolejowych</w:t>
            </w:r>
          </w:p>
          <w:p w14:paraId="683EBA58" w14:textId="530A3504"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23 dyrektorów parków narodowych</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497FA15A"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Ogólne</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405DDC4D" w14:textId="4C5E7373"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Umożliwienie</w:t>
            </w:r>
            <w:r w:rsidRPr="004547D4">
              <w:rPr>
                <w:rFonts w:eastAsia="Calibri" w:cs="Times New Roman"/>
                <w:spacing w:val="-2"/>
                <w:sz w:val="22"/>
                <w:szCs w:val="22"/>
              </w:rPr>
              <w:t xml:space="preserve"> składania wniosków o wyznaczenie stref geograficznych dla BSP</w:t>
            </w:r>
          </w:p>
        </w:tc>
      </w:tr>
      <w:tr w:rsidR="00DA49D1" w:rsidRPr="004547D4" w14:paraId="0A1D731C" w14:textId="77777777" w:rsidTr="0039465C">
        <w:trPr>
          <w:trHeight w:val="142"/>
        </w:trPr>
        <w:tc>
          <w:tcPr>
            <w:tcW w:w="2668" w:type="dxa"/>
            <w:gridSpan w:val="3"/>
            <w:shd w:val="clear" w:color="auto" w:fill="auto"/>
          </w:tcPr>
          <w:p w14:paraId="0B112DA7" w14:textId="40F2E42C" w:rsidR="00DA49D1" w:rsidRPr="004547D4" w:rsidRDefault="00DA49D1" w:rsidP="00C54027">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rPr>
              <w:t>Operatorzy BSP posiadający świadectwo kwalifikacji operatora bezzałogowego statku powietrznego</w:t>
            </w:r>
            <w:r>
              <w:rPr>
                <w:rFonts w:eastAsia="Calibri" w:cs="Times New Roman"/>
                <w:sz w:val="22"/>
                <w:szCs w:val="22"/>
              </w:rPr>
              <w:t>.</w:t>
            </w:r>
          </w:p>
        </w:tc>
        <w:tc>
          <w:tcPr>
            <w:tcW w:w="2292" w:type="dxa"/>
            <w:gridSpan w:val="6"/>
            <w:shd w:val="clear" w:color="auto" w:fill="auto"/>
          </w:tcPr>
          <w:p w14:paraId="2D110D27" w14:textId="381F447B" w:rsidR="00DA49D1" w:rsidRPr="004547D4" w:rsidRDefault="00DA49D1" w:rsidP="00C54027">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rPr>
              <w:t>Ok. 22 tys.</w:t>
            </w:r>
          </w:p>
        </w:tc>
        <w:tc>
          <w:tcPr>
            <w:tcW w:w="2554" w:type="dxa"/>
            <w:gridSpan w:val="9"/>
            <w:shd w:val="clear" w:color="auto" w:fill="auto"/>
          </w:tcPr>
          <w:p w14:paraId="02324E77" w14:textId="77777777" w:rsidR="00DA49D1" w:rsidRPr="004547D4" w:rsidRDefault="00DA49D1" w:rsidP="00C5402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rPr>
              <w:t>Rejestr personelu lotniczego prowadzony przez Prezesa ULC</w:t>
            </w:r>
          </w:p>
        </w:tc>
        <w:tc>
          <w:tcPr>
            <w:tcW w:w="2693" w:type="dxa"/>
            <w:gridSpan w:val="8"/>
            <w:shd w:val="clear" w:color="auto" w:fill="auto"/>
          </w:tcPr>
          <w:p w14:paraId="5EF8CEAC" w14:textId="229306DD" w:rsidR="00DA49D1" w:rsidRPr="004547D4" w:rsidRDefault="00DA49D1" w:rsidP="00C5402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Zmiana systemu wydawania uprawnień, szkoleń i zasad wykonywania operacji systemami BSP. </w:t>
            </w:r>
          </w:p>
        </w:tc>
      </w:tr>
      <w:tr w:rsidR="00DA49D1" w:rsidRPr="004547D4" w14:paraId="26A67D27"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6D59C64" w14:textId="7DF24C2E" w:rsidR="00DA49D1" w:rsidRPr="004547D4" w:rsidRDefault="00DA49D1" w:rsidP="0025556E">
            <w:pPr>
              <w:widowControl/>
              <w:autoSpaceDE/>
              <w:autoSpaceDN/>
              <w:adjustRightInd/>
              <w:spacing w:line="240" w:lineRule="auto"/>
              <w:rPr>
                <w:rFonts w:eastAsia="Calibri" w:cs="Times New Roman"/>
                <w:sz w:val="22"/>
                <w:szCs w:val="22"/>
              </w:rPr>
            </w:pPr>
            <w:bookmarkStart w:id="4" w:name="_Hlk34728192"/>
            <w:r w:rsidRPr="004547D4">
              <w:rPr>
                <w:rFonts w:eastAsia="Calibri" w:cs="Times New Roman"/>
                <w:sz w:val="22"/>
                <w:szCs w:val="22"/>
              </w:rPr>
              <w:t xml:space="preserve">Operatorzy systemów </w:t>
            </w:r>
            <w:r>
              <w:rPr>
                <w:rFonts w:eastAsia="Calibri" w:cs="Times New Roman"/>
                <w:sz w:val="22"/>
                <w:szCs w:val="22"/>
              </w:rPr>
              <w:t>BSP</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6BDD6A0A" w14:textId="6F7F9068" w:rsidR="00DA49D1" w:rsidRPr="004547D4" w:rsidRDefault="00DA49D1" w:rsidP="001F3433">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 xml:space="preserve">ok. </w:t>
            </w:r>
            <w:r w:rsidR="00F7743A">
              <w:rPr>
                <w:rFonts w:eastAsia="Calibri" w:cs="Times New Roman"/>
                <w:spacing w:val="-2"/>
                <w:sz w:val="22"/>
                <w:szCs w:val="22"/>
              </w:rPr>
              <w:t>1</w:t>
            </w:r>
            <w:r w:rsidR="001F3433">
              <w:rPr>
                <w:rFonts w:eastAsia="Calibri" w:cs="Times New Roman"/>
                <w:spacing w:val="-2"/>
                <w:sz w:val="22"/>
                <w:szCs w:val="22"/>
              </w:rPr>
              <w:t>50</w:t>
            </w:r>
            <w:r w:rsidR="00F7743A" w:rsidRPr="004547D4">
              <w:rPr>
                <w:rFonts w:eastAsia="Calibri" w:cs="Times New Roman"/>
                <w:spacing w:val="-2"/>
                <w:sz w:val="22"/>
                <w:szCs w:val="22"/>
              </w:rPr>
              <w:t xml:space="preserve"> </w:t>
            </w:r>
            <w:r w:rsidRPr="004547D4">
              <w:rPr>
                <w:rFonts w:eastAsia="Calibri" w:cs="Times New Roman"/>
                <w:spacing w:val="-2"/>
                <w:sz w:val="22"/>
                <w:szCs w:val="22"/>
              </w:rPr>
              <w:t xml:space="preserve">tys. </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2839E6F0" w14:textId="2A64CEEA"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Rejestr operatorów systemów bezzałogowych statków powietrznych prowadzony przez Prezesa ULC</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505D4ED7" w14:textId="20BFF24D" w:rsidR="00DA49D1" w:rsidRPr="004547D4" w:rsidRDefault="00DA49D1" w:rsidP="00B3668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Konieczność spełnienia wymagań wprowadzonych ustawą </w:t>
            </w:r>
            <w:r>
              <w:rPr>
                <w:rFonts w:eastAsia="Calibri" w:cs="Times New Roman"/>
                <w:spacing w:val="-2"/>
                <w:sz w:val="22"/>
                <w:szCs w:val="22"/>
                <w:lang w:eastAsia="en-US"/>
              </w:rPr>
              <w:t>−</w:t>
            </w:r>
            <w:r w:rsidR="00072270">
              <w:rPr>
                <w:rFonts w:eastAsia="Calibri" w:cs="Times New Roman"/>
                <w:spacing w:val="-2"/>
                <w:sz w:val="22"/>
                <w:szCs w:val="22"/>
                <w:lang w:eastAsia="en-US"/>
              </w:rPr>
              <w:t xml:space="preserve"> Prawo lotnicze w konsekwencji wejścia w </w:t>
            </w:r>
            <w:r w:rsidRPr="004547D4">
              <w:rPr>
                <w:rFonts w:eastAsia="Calibri" w:cs="Times New Roman"/>
                <w:spacing w:val="-2"/>
                <w:sz w:val="22"/>
                <w:szCs w:val="22"/>
                <w:lang w:eastAsia="en-US"/>
              </w:rPr>
              <w:t xml:space="preserve">życie przepisów UE. </w:t>
            </w:r>
          </w:p>
        </w:tc>
      </w:tr>
      <w:tr w:rsidR="00DA49D1" w:rsidRPr="004547D4" w14:paraId="12BDBD86" w14:textId="77777777" w:rsidTr="0039465C">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D8BFEC0" w14:textId="2FEF0DC6"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Kluby i stowarzyszenia modelarstwa lotniczego</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6EB8CD3C" w14:textId="465EE173"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 xml:space="preserve">Nieznana liczba </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42A66D8F" w14:textId="40DBADA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Brak danych</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05C5DD0C" w14:textId="722F5DC8" w:rsidR="00DA49D1" w:rsidRPr="004547D4" w:rsidRDefault="00DA49D1" w:rsidP="00B3668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Konieczność spełnienia wymagań wprowadzonych ustawą </w:t>
            </w:r>
            <w:r>
              <w:rPr>
                <w:rFonts w:eastAsia="Calibri" w:cs="Times New Roman"/>
                <w:spacing w:val="-2"/>
                <w:sz w:val="22"/>
                <w:szCs w:val="22"/>
                <w:lang w:eastAsia="en-US"/>
              </w:rPr>
              <w:t>−</w:t>
            </w:r>
            <w:r w:rsidRPr="004547D4">
              <w:rPr>
                <w:rFonts w:eastAsia="Calibri" w:cs="Times New Roman"/>
                <w:spacing w:val="-2"/>
                <w:sz w:val="22"/>
                <w:szCs w:val="22"/>
                <w:lang w:eastAsia="en-US"/>
              </w:rPr>
              <w:t xml:space="preserve"> Prawo lotnicze w konsekwencji wejścia w życie przepisów UE. </w:t>
            </w:r>
          </w:p>
        </w:tc>
      </w:tr>
      <w:tr w:rsidR="00DA49D1" w:rsidRPr="004547D4" w14:paraId="7B47DE90" w14:textId="77777777" w:rsidTr="0039465C">
        <w:trPr>
          <w:trHeight w:val="142"/>
        </w:trPr>
        <w:tc>
          <w:tcPr>
            <w:tcW w:w="2668" w:type="dxa"/>
            <w:gridSpan w:val="3"/>
            <w:shd w:val="clear" w:color="auto" w:fill="auto"/>
          </w:tcPr>
          <w:p w14:paraId="5C1BFBFC" w14:textId="77777777" w:rsidR="00DA49D1" w:rsidRPr="004547D4" w:rsidRDefault="00DA49D1" w:rsidP="00C54027">
            <w:pPr>
              <w:widowControl/>
              <w:autoSpaceDE/>
              <w:autoSpaceDN/>
              <w:adjustRightInd/>
              <w:spacing w:line="240" w:lineRule="auto"/>
              <w:jc w:val="both"/>
              <w:rPr>
                <w:rFonts w:eastAsia="Calibri" w:cs="Times New Roman"/>
                <w:sz w:val="22"/>
                <w:szCs w:val="22"/>
              </w:rPr>
            </w:pPr>
            <w:bookmarkStart w:id="5" w:name="_Hlk34728393"/>
            <w:r w:rsidRPr="004547D4">
              <w:rPr>
                <w:rFonts w:eastAsia="Calibri" w:cs="Times New Roman"/>
                <w:sz w:val="22"/>
                <w:szCs w:val="22"/>
              </w:rPr>
              <w:t>Jednostki notyfikowane</w:t>
            </w:r>
          </w:p>
        </w:tc>
        <w:tc>
          <w:tcPr>
            <w:tcW w:w="2292" w:type="dxa"/>
            <w:gridSpan w:val="6"/>
            <w:shd w:val="clear" w:color="auto" w:fill="auto"/>
          </w:tcPr>
          <w:p w14:paraId="389EE2F1"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Nieznana liczba</w:t>
            </w:r>
          </w:p>
        </w:tc>
        <w:tc>
          <w:tcPr>
            <w:tcW w:w="2554" w:type="dxa"/>
            <w:gridSpan w:val="9"/>
            <w:shd w:val="clear" w:color="auto" w:fill="auto"/>
          </w:tcPr>
          <w:p w14:paraId="4274FCB6"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 xml:space="preserve">Brak danych </w:t>
            </w:r>
          </w:p>
        </w:tc>
        <w:tc>
          <w:tcPr>
            <w:tcW w:w="2693" w:type="dxa"/>
            <w:gridSpan w:val="8"/>
            <w:shd w:val="clear" w:color="auto" w:fill="auto"/>
          </w:tcPr>
          <w:p w14:paraId="1D0F9EB2" w14:textId="77777777" w:rsidR="00DA49D1" w:rsidRPr="004547D4" w:rsidRDefault="00DA49D1" w:rsidP="00C5402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Przeprowadzanie oceny zgodności w zakresie BSP zgodnie z nowymi wymaganiami po notyfikacji zgodnie z art. 19 rozporządzenia delegowanego. </w:t>
            </w:r>
          </w:p>
        </w:tc>
      </w:tr>
      <w:bookmarkEnd w:id="4"/>
      <w:bookmarkEnd w:id="5"/>
      <w:tr w:rsidR="00DA49D1" w:rsidRPr="004547D4" w14:paraId="08EEBF4B" w14:textId="77777777" w:rsidTr="0039465C">
        <w:trPr>
          <w:trHeight w:val="302"/>
        </w:trPr>
        <w:tc>
          <w:tcPr>
            <w:tcW w:w="10207" w:type="dxa"/>
            <w:gridSpan w:val="26"/>
            <w:shd w:val="clear" w:color="auto" w:fill="99CCFF"/>
            <w:vAlign w:val="center"/>
          </w:tcPr>
          <w:p w14:paraId="63F3541D"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Informacje na temat zakresu, czasu trwania i podsumowanie wyników konsultacji</w:t>
            </w:r>
          </w:p>
        </w:tc>
      </w:tr>
      <w:tr w:rsidR="00DA49D1" w:rsidRPr="004547D4" w14:paraId="4A41D73D" w14:textId="77777777" w:rsidTr="0039465C">
        <w:trPr>
          <w:trHeight w:val="342"/>
        </w:trPr>
        <w:tc>
          <w:tcPr>
            <w:tcW w:w="10207" w:type="dxa"/>
            <w:gridSpan w:val="26"/>
            <w:shd w:val="clear" w:color="auto" w:fill="FFFFFF" w:themeFill="background1"/>
          </w:tcPr>
          <w:p w14:paraId="5097F83A" w14:textId="77777777" w:rsidR="00DA49D1" w:rsidRDefault="00DA49D1" w:rsidP="00AE50C0">
            <w:pPr>
              <w:spacing w:before="120" w:after="120" w:line="240" w:lineRule="auto"/>
              <w:jc w:val="both"/>
              <w:rPr>
                <w:rFonts w:cs="Times New Roman"/>
                <w:sz w:val="22"/>
                <w:szCs w:val="22"/>
              </w:rPr>
            </w:pPr>
            <w:r w:rsidRPr="004547D4">
              <w:rPr>
                <w:rFonts w:cs="Times New Roman"/>
                <w:sz w:val="22"/>
                <w:szCs w:val="22"/>
              </w:rPr>
              <w:t>Z uwagi na unijny charakter nowelizacji oraz związaną z tym konieczność dostosowania prawa krajowego do rozwiązań unijnych w krótkim czasie ze względu na rozpoczęcie stosowania przepisów prawa UE dotyczących BSP z dniem 31 grudnia 2020 r., zrezygnowano z przeprowadzenia konsultacji publicznych projektu.</w:t>
            </w:r>
          </w:p>
          <w:p w14:paraId="2B145A13" w14:textId="00739134" w:rsidR="00A64A22" w:rsidRDefault="00A64A22" w:rsidP="00AE50C0">
            <w:pPr>
              <w:spacing w:before="120" w:after="120" w:line="240" w:lineRule="auto"/>
              <w:jc w:val="both"/>
              <w:rPr>
                <w:rFonts w:cs="Times New Roman"/>
                <w:sz w:val="22"/>
                <w:szCs w:val="22"/>
              </w:rPr>
            </w:pPr>
            <w:r>
              <w:rPr>
                <w:rFonts w:cs="Times New Roman"/>
                <w:sz w:val="22"/>
                <w:szCs w:val="22"/>
              </w:rPr>
              <w:t xml:space="preserve">Projekt </w:t>
            </w:r>
            <w:r w:rsidR="009E08CC">
              <w:rPr>
                <w:rFonts w:cs="Times New Roman"/>
                <w:sz w:val="22"/>
                <w:szCs w:val="22"/>
              </w:rPr>
              <w:t>został rozpatrzony przez Komisję Wspólną Rządu i Samorządu Terytorialnego na posiedzeniu w dniu 29 listopada 2022 r. Komisja wydała pozytywną opinię do projektu, z zastrzeżeniem postulatu:</w:t>
            </w:r>
          </w:p>
          <w:p w14:paraId="45069888" w14:textId="308A68E4" w:rsidR="009E08CC" w:rsidRPr="009E08CC" w:rsidRDefault="009E08CC" w:rsidP="009E08CC">
            <w:pPr>
              <w:pStyle w:val="Akapitzlist"/>
              <w:numPr>
                <w:ilvl w:val="0"/>
                <w:numId w:val="32"/>
              </w:numPr>
              <w:spacing w:before="120" w:after="120" w:line="240" w:lineRule="auto"/>
              <w:jc w:val="both"/>
              <w:rPr>
                <w:rFonts w:cs="Times New Roman"/>
                <w:sz w:val="22"/>
                <w:szCs w:val="22"/>
              </w:rPr>
            </w:pPr>
            <w:r w:rsidRPr="009E08CC">
              <w:rPr>
                <w:rFonts w:cs="Times New Roman"/>
                <w:sz w:val="22"/>
                <w:szCs w:val="22"/>
              </w:rPr>
              <w:t>wprowadzenia przepisów zwalniających jednostki samorządu terytorialnego od obowiązku ponoszenia opłat za czynności związane z przeprowadzeniem wstępnej oceny wniosku o wyznaczenie strefy geograficznej, wyznaczeniem strefy geograficznej, przedłużeniem okresu obowiązywania strefy geograficznej i ponownym wyznaczeniem strefy geograficznej;</w:t>
            </w:r>
          </w:p>
          <w:p w14:paraId="1A5E7CD4" w14:textId="7D60C154" w:rsidR="009E08CC" w:rsidRPr="009E08CC" w:rsidRDefault="009E08CC" w:rsidP="009E08CC">
            <w:pPr>
              <w:pStyle w:val="Akapitzlist"/>
              <w:numPr>
                <w:ilvl w:val="0"/>
                <w:numId w:val="32"/>
              </w:numPr>
              <w:spacing w:before="120" w:after="120" w:line="240" w:lineRule="auto"/>
              <w:jc w:val="both"/>
              <w:rPr>
                <w:rFonts w:cs="Times New Roman"/>
                <w:sz w:val="22"/>
                <w:szCs w:val="22"/>
              </w:rPr>
            </w:pPr>
            <w:r w:rsidRPr="009E08CC">
              <w:rPr>
                <w:rFonts w:cs="Times New Roman"/>
                <w:sz w:val="22"/>
                <w:szCs w:val="22"/>
              </w:rPr>
              <w:t>rozszerzeni</w:t>
            </w:r>
            <w:r>
              <w:rPr>
                <w:rFonts w:cs="Times New Roman"/>
                <w:sz w:val="22"/>
                <w:szCs w:val="22"/>
              </w:rPr>
              <w:t>a</w:t>
            </w:r>
            <w:r w:rsidRPr="009E08CC">
              <w:rPr>
                <w:rFonts w:cs="Times New Roman"/>
                <w:sz w:val="22"/>
                <w:szCs w:val="22"/>
              </w:rPr>
              <w:t xml:space="preserve"> katalogu podmiotów, na wniosek których Prezes U</w:t>
            </w:r>
            <w:r>
              <w:rPr>
                <w:rFonts w:cs="Times New Roman"/>
                <w:sz w:val="22"/>
                <w:szCs w:val="22"/>
              </w:rPr>
              <w:t>LC</w:t>
            </w:r>
            <w:r w:rsidRPr="009E08CC">
              <w:rPr>
                <w:rFonts w:cs="Times New Roman"/>
                <w:sz w:val="22"/>
                <w:szCs w:val="22"/>
              </w:rPr>
              <w:t xml:space="preserve"> udostępnia nieodpłatnie dane zawarte w</w:t>
            </w:r>
            <w:r w:rsidR="006056A4">
              <w:rPr>
                <w:rFonts w:cs="Times New Roman"/>
                <w:sz w:val="22"/>
                <w:szCs w:val="22"/>
              </w:rPr>
              <w:t> </w:t>
            </w:r>
            <w:r w:rsidRPr="009E08CC">
              <w:rPr>
                <w:rFonts w:cs="Times New Roman"/>
                <w:sz w:val="22"/>
                <w:szCs w:val="22"/>
              </w:rPr>
              <w:t xml:space="preserve">rejestrze operatorów </w:t>
            </w:r>
            <w:r>
              <w:rPr>
                <w:rFonts w:cs="Times New Roman"/>
                <w:sz w:val="22"/>
                <w:szCs w:val="22"/>
              </w:rPr>
              <w:t xml:space="preserve">systemów BSP </w:t>
            </w:r>
            <w:r w:rsidRPr="009E08CC">
              <w:rPr>
                <w:rFonts w:cs="Times New Roman"/>
                <w:sz w:val="22"/>
                <w:szCs w:val="22"/>
              </w:rPr>
              <w:t>o:</w:t>
            </w:r>
          </w:p>
          <w:p w14:paraId="35E7943A" w14:textId="45B19800" w:rsidR="009E08CC" w:rsidRPr="009E08CC" w:rsidRDefault="009E08CC" w:rsidP="009E08CC">
            <w:pPr>
              <w:pStyle w:val="Akapitzlist"/>
              <w:numPr>
                <w:ilvl w:val="0"/>
                <w:numId w:val="33"/>
              </w:numPr>
              <w:spacing w:before="120" w:after="120" w:line="240" w:lineRule="auto"/>
              <w:jc w:val="both"/>
              <w:rPr>
                <w:rFonts w:cs="Times New Roman"/>
                <w:sz w:val="22"/>
                <w:szCs w:val="22"/>
              </w:rPr>
            </w:pPr>
            <w:r w:rsidRPr="009E08CC">
              <w:rPr>
                <w:rFonts w:cs="Times New Roman"/>
                <w:sz w:val="22"/>
                <w:szCs w:val="22"/>
              </w:rPr>
              <w:t>wójta (burmistrza, prezydenta miasta),</w:t>
            </w:r>
          </w:p>
          <w:p w14:paraId="102E4C4A" w14:textId="5149366E" w:rsidR="009E08CC" w:rsidRPr="009E08CC" w:rsidRDefault="009E08CC" w:rsidP="009E08CC">
            <w:pPr>
              <w:pStyle w:val="Akapitzlist"/>
              <w:numPr>
                <w:ilvl w:val="0"/>
                <w:numId w:val="33"/>
              </w:numPr>
              <w:spacing w:before="120" w:after="120" w:line="240" w:lineRule="auto"/>
              <w:jc w:val="both"/>
              <w:rPr>
                <w:rFonts w:cs="Times New Roman"/>
                <w:sz w:val="22"/>
                <w:szCs w:val="22"/>
              </w:rPr>
            </w:pPr>
            <w:r w:rsidRPr="009E08CC">
              <w:rPr>
                <w:rFonts w:cs="Times New Roman"/>
                <w:sz w:val="22"/>
                <w:szCs w:val="22"/>
              </w:rPr>
              <w:t>starostę,</w:t>
            </w:r>
          </w:p>
          <w:p w14:paraId="0A4D327E" w14:textId="223847AA" w:rsidR="009E08CC" w:rsidRPr="009E08CC" w:rsidRDefault="009E08CC" w:rsidP="009E08CC">
            <w:pPr>
              <w:pStyle w:val="Akapitzlist"/>
              <w:numPr>
                <w:ilvl w:val="0"/>
                <w:numId w:val="33"/>
              </w:numPr>
              <w:spacing w:before="120" w:after="120" w:line="240" w:lineRule="auto"/>
              <w:jc w:val="both"/>
              <w:rPr>
                <w:rFonts w:cs="Times New Roman"/>
                <w:sz w:val="22"/>
                <w:szCs w:val="22"/>
              </w:rPr>
            </w:pPr>
            <w:r w:rsidRPr="009E08CC">
              <w:rPr>
                <w:rFonts w:cs="Times New Roman"/>
                <w:sz w:val="22"/>
                <w:szCs w:val="22"/>
              </w:rPr>
              <w:t>marszałka województwa</w:t>
            </w:r>
            <w:r>
              <w:rPr>
                <w:rFonts w:cs="Times New Roman"/>
                <w:sz w:val="22"/>
                <w:szCs w:val="22"/>
              </w:rPr>
              <w:t>.</w:t>
            </w:r>
          </w:p>
          <w:p w14:paraId="75001946" w14:textId="1717FF15" w:rsidR="009E08CC" w:rsidRDefault="009E08CC" w:rsidP="009E08CC">
            <w:pPr>
              <w:spacing w:before="120" w:after="120" w:line="240" w:lineRule="auto"/>
              <w:jc w:val="both"/>
              <w:rPr>
                <w:rFonts w:cs="Times New Roman"/>
                <w:sz w:val="22"/>
                <w:szCs w:val="22"/>
              </w:rPr>
            </w:pPr>
            <w:r>
              <w:rPr>
                <w:rFonts w:cs="Times New Roman"/>
                <w:sz w:val="22"/>
                <w:szCs w:val="22"/>
              </w:rPr>
              <w:t>Uwagi nie zostały uwzględnione z niżej wskazanych powodów.</w:t>
            </w:r>
          </w:p>
          <w:p w14:paraId="31AC07D4" w14:textId="11E66ED1" w:rsidR="009E08CC" w:rsidRPr="009E08CC" w:rsidRDefault="009E08CC" w:rsidP="009E08CC">
            <w:pPr>
              <w:spacing w:before="120" w:after="120" w:line="240" w:lineRule="auto"/>
              <w:jc w:val="both"/>
              <w:rPr>
                <w:rFonts w:cs="Times New Roman"/>
                <w:sz w:val="22"/>
                <w:szCs w:val="22"/>
              </w:rPr>
            </w:pPr>
            <w:r>
              <w:rPr>
                <w:rFonts w:cs="Times New Roman"/>
                <w:sz w:val="22"/>
                <w:szCs w:val="22"/>
              </w:rPr>
              <w:t>Ad. 1. </w:t>
            </w:r>
            <w:r w:rsidRPr="009E08CC">
              <w:rPr>
                <w:rFonts w:cs="Times New Roman"/>
                <w:sz w:val="22"/>
                <w:szCs w:val="22"/>
              </w:rPr>
              <w:t>Zwolnienie jakichkolwiek podmiotów z konieczności wnoszenia opłat na rzecz PAŻP związanych z wyznaczaniem, przedłużaniem obwiązywania czy wznawianiem obowiązywania stref geograficznych nie znajduje uzasadnienia, a ponadto spowodowałoby konieczność wprowadzenia innego rozwiązania zapewniającego PAŻP środki finansowe na pokrycie kosztów PAŻP ponoszonych w tym zakresie.</w:t>
            </w:r>
          </w:p>
          <w:p w14:paraId="2FB50F42" w14:textId="02F24B63"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Zgodnie z obowiązującymi przepisami prawa UE, zadań wynikających z przepisów </w:t>
            </w:r>
            <w:r w:rsidR="00EF5718" w:rsidRPr="009E08CC">
              <w:rPr>
                <w:rFonts w:cs="Times New Roman"/>
                <w:sz w:val="22"/>
                <w:szCs w:val="22"/>
              </w:rPr>
              <w:t>rozporządzeni</w:t>
            </w:r>
            <w:r w:rsidR="00EF5718">
              <w:rPr>
                <w:rFonts w:cs="Times New Roman"/>
                <w:sz w:val="22"/>
                <w:szCs w:val="22"/>
              </w:rPr>
              <w:t>a</w:t>
            </w:r>
            <w:r w:rsidR="00EF5718" w:rsidRPr="009E08CC">
              <w:rPr>
                <w:rFonts w:cs="Times New Roman"/>
                <w:sz w:val="22"/>
                <w:szCs w:val="22"/>
              </w:rPr>
              <w:t xml:space="preserve"> wykonawcz</w:t>
            </w:r>
            <w:r w:rsidR="00EF5718">
              <w:rPr>
                <w:rFonts w:cs="Times New Roman"/>
                <w:sz w:val="22"/>
                <w:szCs w:val="22"/>
              </w:rPr>
              <w:t>ego</w:t>
            </w:r>
            <w:r w:rsidR="00EF5718" w:rsidRPr="009E08CC">
              <w:rPr>
                <w:rFonts w:cs="Times New Roman"/>
                <w:sz w:val="22"/>
                <w:szCs w:val="22"/>
              </w:rPr>
              <w:t xml:space="preserve"> </w:t>
            </w:r>
            <w:r w:rsidRPr="009E08CC">
              <w:rPr>
                <w:rFonts w:cs="Times New Roman"/>
                <w:sz w:val="22"/>
                <w:szCs w:val="22"/>
              </w:rPr>
              <w:t>PAŻP nie może finansować z opłat nawigacyjnych pobieranych od użytkowników przestrzeni powietrznej w związku z zapewnianiem służb żeglugi powietrznej. Jednocześnie brak jest możliwości zapewnienia PAŻP środków finansowych na realizację zadań związanych ze strefami geograficznymi z innych źródeł.</w:t>
            </w:r>
          </w:p>
          <w:p w14:paraId="50171624" w14:textId="36815DC4" w:rsidR="009E08CC" w:rsidRDefault="009E08CC" w:rsidP="009E08CC">
            <w:pPr>
              <w:spacing w:before="120" w:after="120" w:line="240" w:lineRule="auto"/>
              <w:jc w:val="both"/>
              <w:rPr>
                <w:rFonts w:cs="Times New Roman"/>
                <w:sz w:val="22"/>
                <w:szCs w:val="22"/>
              </w:rPr>
            </w:pPr>
            <w:r w:rsidRPr="009E08CC">
              <w:rPr>
                <w:rFonts w:cs="Times New Roman"/>
                <w:sz w:val="22"/>
                <w:szCs w:val="22"/>
              </w:rPr>
              <w:t>Z uwagi na powyższe za optymalne uznano rozwiązanie, zgodnie z którym koszty PAŻP w tym zakresie pokrywane są każdorazowo przez podmiot wnioskujący o wyznaczenie, przedłużenie obowiązywania czy wznowienie obowiązywania strefy geograficznej, niezależnie od tego czy jest on jednostką sektora finansów publicznych, czy też nie. Rozwiązanie to zapewni również korzystanie przez podmioty uprawnione z przyznanego im prawa w sposób rozważny i ograniczony do niezbędnego minimum, eliminując ryzyko nadmiernego ograniczania</w:t>
            </w:r>
            <w:r>
              <w:rPr>
                <w:rFonts w:cs="Times New Roman"/>
                <w:sz w:val="22"/>
                <w:szCs w:val="22"/>
              </w:rPr>
              <w:t xml:space="preserve"> dostępności</w:t>
            </w:r>
            <w:r w:rsidRPr="009E08CC">
              <w:rPr>
                <w:rFonts w:cs="Times New Roman"/>
                <w:sz w:val="22"/>
                <w:szCs w:val="22"/>
              </w:rPr>
              <w:t xml:space="preserve"> przestrzeni powietrznej.</w:t>
            </w:r>
          </w:p>
          <w:p w14:paraId="1BF70378" w14:textId="2442C346"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Dlatego każdy z podmiotów uprawnionych do wnioskowania o wyznaczenie stref geograficznych, także </w:t>
            </w:r>
            <w:r w:rsidR="00EF5718" w:rsidRPr="009E08CC">
              <w:rPr>
                <w:rFonts w:cs="Times New Roman"/>
                <w:sz w:val="22"/>
                <w:szCs w:val="22"/>
              </w:rPr>
              <w:t>jednostki samorządu terytorialnego</w:t>
            </w:r>
            <w:r w:rsidRPr="009E08CC">
              <w:rPr>
                <w:rFonts w:cs="Times New Roman"/>
                <w:sz w:val="22"/>
                <w:szCs w:val="22"/>
              </w:rPr>
              <w:t>, powinien samodzielnie ponosić opłaty z tego tytułu i zabezpieczyć odpowiednie środki na ten cel w ramach budżetu znajdującego się w jego dyspozycji.</w:t>
            </w:r>
          </w:p>
          <w:p w14:paraId="20B941A4" w14:textId="2493E725"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Należy także podkreślić, że projektowana regulacja przewiduje możliwość wystąpienia przez jednostki samorządu terytorialnego, z wnioskiem o wyznaczenie strefy geograficznej – jest to uprawnienie, z którego </w:t>
            </w:r>
            <w:r w:rsidR="00EF5718" w:rsidRPr="009E08CC">
              <w:rPr>
                <w:rFonts w:cs="Times New Roman"/>
                <w:sz w:val="22"/>
                <w:szCs w:val="22"/>
              </w:rPr>
              <w:t>jednostk</w:t>
            </w:r>
            <w:r w:rsidR="00EF5718">
              <w:rPr>
                <w:rFonts w:cs="Times New Roman"/>
                <w:sz w:val="22"/>
                <w:szCs w:val="22"/>
              </w:rPr>
              <w:t>a</w:t>
            </w:r>
            <w:r w:rsidR="00EF5718" w:rsidRPr="009E08CC">
              <w:rPr>
                <w:rFonts w:cs="Times New Roman"/>
                <w:sz w:val="22"/>
                <w:szCs w:val="22"/>
              </w:rPr>
              <w:t xml:space="preserve"> samorządu terytorialnego</w:t>
            </w:r>
            <w:r w:rsidR="00EF5718" w:rsidRPr="009E08CC" w:rsidDel="00EF5718">
              <w:rPr>
                <w:rFonts w:cs="Times New Roman"/>
                <w:sz w:val="22"/>
                <w:szCs w:val="22"/>
              </w:rPr>
              <w:t xml:space="preserve"> </w:t>
            </w:r>
            <w:r w:rsidRPr="009E08CC">
              <w:rPr>
                <w:rFonts w:cs="Times New Roman"/>
                <w:sz w:val="22"/>
                <w:szCs w:val="22"/>
              </w:rPr>
              <w:t>może, ale nie musi korzystać.</w:t>
            </w:r>
          </w:p>
          <w:p w14:paraId="7B6E8050" w14:textId="21B388B5" w:rsidR="009E08CC" w:rsidRPr="009E08CC" w:rsidRDefault="009E08CC" w:rsidP="009E08CC">
            <w:pPr>
              <w:spacing w:before="120" w:after="120" w:line="240" w:lineRule="auto"/>
              <w:jc w:val="both"/>
              <w:rPr>
                <w:rFonts w:cs="Times New Roman"/>
                <w:sz w:val="22"/>
                <w:szCs w:val="22"/>
              </w:rPr>
            </w:pPr>
            <w:r>
              <w:rPr>
                <w:rFonts w:cs="Times New Roman"/>
                <w:sz w:val="22"/>
                <w:szCs w:val="22"/>
              </w:rPr>
              <w:t>Ad. 2. </w:t>
            </w:r>
            <w:r w:rsidRPr="009E08CC">
              <w:rPr>
                <w:rFonts w:cs="Times New Roman"/>
                <w:sz w:val="22"/>
                <w:szCs w:val="22"/>
              </w:rPr>
              <w:t xml:space="preserve">Projektowana regulacja przewiduje, że bezpłatny dostęp do danych </w:t>
            </w:r>
            <w:r>
              <w:rPr>
                <w:rFonts w:cs="Times New Roman"/>
                <w:sz w:val="22"/>
                <w:szCs w:val="22"/>
              </w:rPr>
              <w:t xml:space="preserve">zawartych </w:t>
            </w:r>
            <w:r w:rsidRPr="009E08CC">
              <w:rPr>
                <w:rFonts w:cs="Times New Roman"/>
                <w:sz w:val="22"/>
                <w:szCs w:val="22"/>
              </w:rPr>
              <w:t>w rejestrze operatorów będą mieć przede wszystkim organy, które mają ustawowy obowiązek zapewnienia bezpieczeństwa publicznego, w</w:t>
            </w:r>
            <w:r w:rsidR="00072270">
              <w:rPr>
                <w:rFonts w:cs="Times New Roman"/>
                <w:sz w:val="22"/>
                <w:szCs w:val="22"/>
              </w:rPr>
              <w:t> </w:t>
            </w:r>
            <w:r w:rsidRPr="009E08CC">
              <w:rPr>
                <w:rFonts w:cs="Times New Roman"/>
                <w:sz w:val="22"/>
                <w:szCs w:val="22"/>
              </w:rPr>
              <w:t>celu realizacji zadań ustawowych.</w:t>
            </w:r>
          </w:p>
          <w:p w14:paraId="593D70FA" w14:textId="77777777"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Organy te mają np. kompetencje do nakładania mandatów karnych, a ich zadania ustawowe skupiają się na roli jaką pełnią, tj. utrzymanie porządku publicznego i zapewnienia bezpieczeństwa publicznego.</w:t>
            </w:r>
          </w:p>
          <w:p w14:paraId="5958EDAC" w14:textId="77777777" w:rsid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Wobec powyższego nie znajduje uzasadnienia dodanie do tego katalogu wójta, starosty czy marszałka województwa. </w:t>
            </w:r>
          </w:p>
          <w:p w14:paraId="4A2D6328" w14:textId="722A5314" w:rsidR="009E08CC" w:rsidRPr="004547D4" w:rsidRDefault="009E08CC" w:rsidP="009E08CC">
            <w:pPr>
              <w:spacing w:before="120" w:after="120" w:line="240" w:lineRule="auto"/>
              <w:jc w:val="both"/>
              <w:rPr>
                <w:rFonts w:cs="Times New Roman"/>
                <w:sz w:val="22"/>
                <w:szCs w:val="22"/>
              </w:rPr>
            </w:pPr>
            <w:r w:rsidRPr="009E08CC">
              <w:rPr>
                <w:rFonts w:cs="Times New Roman"/>
                <w:sz w:val="22"/>
                <w:szCs w:val="22"/>
              </w:rPr>
              <w:t>Ponadto propozycja budzi wątpliwości w zakresie zgodności z przepisami prawa UE dotyczącymi ochrony danych osobowych, zgodnie z którymi dane osobowe muszą być przetwarzane w konkretnych, wyraźnych i prawnie uzasadnionych celach, a uzasadnienie prop</w:t>
            </w:r>
            <w:r>
              <w:rPr>
                <w:rFonts w:cs="Times New Roman"/>
                <w:sz w:val="22"/>
                <w:szCs w:val="22"/>
              </w:rPr>
              <w:t>ozycji takiego celu nie wskazało</w:t>
            </w:r>
            <w:r w:rsidRPr="009E08CC">
              <w:rPr>
                <w:rFonts w:cs="Times New Roman"/>
                <w:sz w:val="22"/>
                <w:szCs w:val="22"/>
              </w:rPr>
              <w:t>.</w:t>
            </w:r>
          </w:p>
        </w:tc>
      </w:tr>
      <w:tr w:rsidR="00DA49D1" w:rsidRPr="004547D4" w14:paraId="075BEFFD" w14:textId="77777777" w:rsidTr="0039465C">
        <w:trPr>
          <w:trHeight w:val="363"/>
        </w:trPr>
        <w:tc>
          <w:tcPr>
            <w:tcW w:w="10207" w:type="dxa"/>
            <w:gridSpan w:val="26"/>
            <w:shd w:val="clear" w:color="auto" w:fill="99CCFF"/>
            <w:vAlign w:val="center"/>
          </w:tcPr>
          <w:p w14:paraId="5AEB139A"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 xml:space="preserve"> Wpływ na sektor finansów publicznych</w:t>
            </w:r>
          </w:p>
        </w:tc>
      </w:tr>
      <w:tr w:rsidR="00DA49D1" w:rsidRPr="004547D4" w14:paraId="34162522" w14:textId="77777777" w:rsidTr="0039465C">
        <w:trPr>
          <w:trHeight w:val="142"/>
        </w:trPr>
        <w:tc>
          <w:tcPr>
            <w:tcW w:w="2865" w:type="dxa"/>
            <w:gridSpan w:val="4"/>
            <w:vMerge w:val="restart"/>
            <w:shd w:val="clear" w:color="auto" w:fill="FFFFFF" w:themeFill="background1"/>
          </w:tcPr>
          <w:p w14:paraId="6D1265BE" w14:textId="3D9387EB" w:rsidR="00DA49D1" w:rsidRPr="004547D4" w:rsidRDefault="00DA49D1" w:rsidP="00CB384D">
            <w:pPr>
              <w:widowControl/>
              <w:autoSpaceDE/>
              <w:autoSpaceDN/>
              <w:adjustRightInd/>
              <w:spacing w:before="40" w:after="40" w:line="276" w:lineRule="auto"/>
              <w:rPr>
                <w:rFonts w:eastAsia="Calibri" w:cs="Times New Roman"/>
                <w:i/>
                <w:sz w:val="22"/>
                <w:szCs w:val="22"/>
                <w:lang w:eastAsia="en-US"/>
              </w:rPr>
            </w:pPr>
            <w:r w:rsidRPr="004547D4">
              <w:rPr>
                <w:rFonts w:eastAsia="Calibri" w:cs="Times New Roman"/>
                <w:sz w:val="22"/>
                <w:szCs w:val="22"/>
                <w:lang w:eastAsia="en-US"/>
              </w:rPr>
              <w:t>(ceny stałe z 202</w:t>
            </w:r>
            <w:r w:rsidR="00CB384D">
              <w:rPr>
                <w:rFonts w:eastAsia="Calibri" w:cs="Times New Roman"/>
                <w:sz w:val="22"/>
                <w:szCs w:val="22"/>
                <w:lang w:eastAsia="en-US"/>
              </w:rPr>
              <w:t>2</w:t>
            </w:r>
            <w:r w:rsidRPr="004547D4">
              <w:rPr>
                <w:rFonts w:eastAsia="Calibri" w:cs="Times New Roman"/>
                <w:sz w:val="22"/>
                <w:szCs w:val="22"/>
                <w:lang w:eastAsia="en-US"/>
              </w:rPr>
              <w:t xml:space="preserve"> r.)</w:t>
            </w:r>
          </w:p>
        </w:tc>
        <w:tc>
          <w:tcPr>
            <w:tcW w:w="7342" w:type="dxa"/>
            <w:gridSpan w:val="22"/>
            <w:shd w:val="clear" w:color="auto" w:fill="FFFFFF" w:themeFill="background1"/>
          </w:tcPr>
          <w:p w14:paraId="75D629FF" w14:textId="77777777" w:rsidR="00DA49D1" w:rsidRPr="004547D4" w:rsidRDefault="00DA49D1" w:rsidP="00C54027">
            <w:pPr>
              <w:widowControl/>
              <w:autoSpaceDE/>
              <w:autoSpaceDN/>
              <w:adjustRightInd/>
              <w:spacing w:before="40" w:after="40" w:line="240" w:lineRule="auto"/>
              <w:jc w:val="center"/>
              <w:rPr>
                <w:rFonts w:eastAsia="Calibri" w:cs="Times New Roman"/>
                <w:i/>
                <w:spacing w:val="-2"/>
                <w:sz w:val="22"/>
                <w:szCs w:val="22"/>
                <w:lang w:eastAsia="en-US"/>
              </w:rPr>
            </w:pPr>
            <w:r w:rsidRPr="004547D4">
              <w:rPr>
                <w:rFonts w:eastAsia="Calibri" w:cs="Times New Roman"/>
                <w:sz w:val="22"/>
                <w:szCs w:val="22"/>
                <w:lang w:eastAsia="en-US"/>
              </w:rPr>
              <w:t>Skutki w okresie 10 lat od wejścia w życie zmian [mln zł]</w:t>
            </w:r>
          </w:p>
        </w:tc>
      </w:tr>
      <w:tr w:rsidR="00DA49D1" w:rsidRPr="004547D4" w14:paraId="2D2DBF8E" w14:textId="77777777" w:rsidTr="0039465C">
        <w:trPr>
          <w:trHeight w:val="142"/>
        </w:trPr>
        <w:tc>
          <w:tcPr>
            <w:tcW w:w="2865" w:type="dxa"/>
            <w:gridSpan w:val="4"/>
            <w:vMerge/>
          </w:tcPr>
          <w:p w14:paraId="509B48D1" w14:textId="77777777" w:rsidR="00DA49D1" w:rsidRPr="004547D4" w:rsidRDefault="00DA49D1" w:rsidP="00C54027">
            <w:pPr>
              <w:widowControl/>
              <w:autoSpaceDE/>
              <w:autoSpaceDN/>
              <w:adjustRightInd/>
              <w:spacing w:before="40" w:after="40" w:line="240" w:lineRule="auto"/>
              <w:rPr>
                <w:rFonts w:eastAsia="Calibri" w:cs="Times New Roman"/>
                <w:i/>
                <w:sz w:val="22"/>
                <w:szCs w:val="22"/>
                <w:lang w:eastAsia="en-US"/>
              </w:rPr>
            </w:pPr>
          </w:p>
        </w:tc>
        <w:tc>
          <w:tcPr>
            <w:tcW w:w="567" w:type="dxa"/>
            <w:shd w:val="clear" w:color="auto" w:fill="FFFFFF" w:themeFill="background1"/>
          </w:tcPr>
          <w:p w14:paraId="742DE93F" w14:textId="77777777" w:rsidR="00DA49D1"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0</w:t>
            </w:r>
          </w:p>
          <w:p w14:paraId="70454DFE" w14:textId="6334B979" w:rsidR="00DA49D1" w:rsidRPr="000D1F42" w:rsidRDefault="00DA49D1" w:rsidP="00C54027">
            <w:pPr>
              <w:widowControl/>
              <w:autoSpaceDE/>
              <w:autoSpaceDN/>
              <w:adjustRightInd/>
              <w:spacing w:line="240" w:lineRule="auto"/>
              <w:jc w:val="center"/>
              <w:rPr>
                <w:rFonts w:eastAsia="Calibri" w:cs="Times New Roman"/>
                <w:sz w:val="22"/>
                <w:szCs w:val="22"/>
                <w:u w:val="single"/>
                <w:lang w:eastAsia="en-US"/>
              </w:rPr>
            </w:pPr>
            <w:r w:rsidRPr="000D1F42">
              <w:rPr>
                <w:rFonts w:eastAsia="Calibri" w:cs="Times New Roman"/>
                <w:sz w:val="22"/>
                <w:szCs w:val="22"/>
                <w:u w:val="single"/>
                <w:lang w:eastAsia="en-US"/>
              </w:rPr>
              <w:t>(202</w:t>
            </w:r>
            <w:r w:rsidR="00C657DD">
              <w:rPr>
                <w:rFonts w:eastAsia="Calibri" w:cs="Times New Roman"/>
                <w:sz w:val="22"/>
                <w:szCs w:val="22"/>
                <w:u w:val="single"/>
                <w:lang w:eastAsia="en-US"/>
              </w:rPr>
              <w:t>3</w:t>
            </w:r>
            <w:r w:rsidRPr="000D1F42">
              <w:rPr>
                <w:rFonts w:eastAsia="Calibri" w:cs="Times New Roman"/>
                <w:sz w:val="22"/>
                <w:szCs w:val="22"/>
                <w:u w:val="single"/>
                <w:lang w:eastAsia="en-US"/>
              </w:rPr>
              <w:t>)</w:t>
            </w:r>
          </w:p>
        </w:tc>
        <w:tc>
          <w:tcPr>
            <w:tcW w:w="567" w:type="dxa"/>
            <w:gridSpan w:val="2"/>
            <w:shd w:val="clear" w:color="auto" w:fill="FFFFFF" w:themeFill="background1"/>
          </w:tcPr>
          <w:p w14:paraId="2DCE01D6"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w:t>
            </w:r>
          </w:p>
        </w:tc>
        <w:tc>
          <w:tcPr>
            <w:tcW w:w="567" w:type="dxa"/>
            <w:shd w:val="clear" w:color="auto" w:fill="FFFFFF" w:themeFill="background1"/>
          </w:tcPr>
          <w:p w14:paraId="53292C42"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2</w:t>
            </w:r>
          </w:p>
        </w:tc>
        <w:tc>
          <w:tcPr>
            <w:tcW w:w="708" w:type="dxa"/>
            <w:gridSpan w:val="3"/>
            <w:shd w:val="clear" w:color="auto" w:fill="FFFFFF" w:themeFill="background1"/>
          </w:tcPr>
          <w:p w14:paraId="6D93BEAF"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3</w:t>
            </w:r>
          </w:p>
        </w:tc>
        <w:tc>
          <w:tcPr>
            <w:tcW w:w="567" w:type="dxa"/>
            <w:gridSpan w:val="2"/>
            <w:shd w:val="clear" w:color="auto" w:fill="FFFFFF" w:themeFill="background1"/>
          </w:tcPr>
          <w:p w14:paraId="58073031"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4</w:t>
            </w:r>
          </w:p>
        </w:tc>
        <w:tc>
          <w:tcPr>
            <w:tcW w:w="710" w:type="dxa"/>
            <w:shd w:val="clear" w:color="auto" w:fill="FFFFFF" w:themeFill="background1"/>
          </w:tcPr>
          <w:p w14:paraId="26D0A1F1"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5</w:t>
            </w:r>
          </w:p>
        </w:tc>
        <w:tc>
          <w:tcPr>
            <w:tcW w:w="566" w:type="dxa"/>
            <w:gridSpan w:val="2"/>
            <w:shd w:val="clear" w:color="auto" w:fill="FFFFFF" w:themeFill="background1"/>
          </w:tcPr>
          <w:p w14:paraId="2CE161BC"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6</w:t>
            </w:r>
          </w:p>
        </w:tc>
        <w:tc>
          <w:tcPr>
            <w:tcW w:w="573" w:type="dxa"/>
            <w:gridSpan w:val="4"/>
            <w:shd w:val="clear" w:color="auto" w:fill="FFFFFF" w:themeFill="background1"/>
          </w:tcPr>
          <w:p w14:paraId="5D6F3233"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7</w:t>
            </w:r>
          </w:p>
        </w:tc>
        <w:tc>
          <w:tcPr>
            <w:tcW w:w="570" w:type="dxa"/>
            <w:shd w:val="clear" w:color="auto" w:fill="FFFFFF" w:themeFill="background1"/>
          </w:tcPr>
          <w:p w14:paraId="0DE5C49E"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8</w:t>
            </w:r>
          </w:p>
        </w:tc>
        <w:tc>
          <w:tcPr>
            <w:tcW w:w="570" w:type="dxa"/>
            <w:gridSpan w:val="2"/>
            <w:shd w:val="clear" w:color="auto" w:fill="FFFFFF" w:themeFill="background1"/>
          </w:tcPr>
          <w:p w14:paraId="42B49F11"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9</w:t>
            </w:r>
          </w:p>
        </w:tc>
        <w:tc>
          <w:tcPr>
            <w:tcW w:w="570" w:type="dxa"/>
            <w:shd w:val="clear" w:color="auto" w:fill="FFFFFF" w:themeFill="background1"/>
          </w:tcPr>
          <w:p w14:paraId="26471576"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10</w:t>
            </w:r>
          </w:p>
        </w:tc>
        <w:tc>
          <w:tcPr>
            <w:tcW w:w="807" w:type="dxa"/>
            <w:gridSpan w:val="2"/>
            <w:shd w:val="clear" w:color="auto" w:fill="FFFFFF" w:themeFill="background1"/>
          </w:tcPr>
          <w:p w14:paraId="100F11E2" w14:textId="77777777" w:rsidR="00DA49D1" w:rsidRPr="004547D4" w:rsidRDefault="00DA49D1" w:rsidP="00C54027">
            <w:pPr>
              <w:widowControl/>
              <w:autoSpaceDE/>
              <w:autoSpaceDN/>
              <w:adjustRightInd/>
              <w:spacing w:before="40" w:after="40" w:line="240" w:lineRule="auto"/>
              <w:jc w:val="center"/>
              <w:rPr>
                <w:rFonts w:eastAsia="Calibri" w:cs="Times New Roman"/>
                <w:i/>
                <w:spacing w:val="-2"/>
                <w:sz w:val="22"/>
                <w:szCs w:val="22"/>
                <w:lang w:eastAsia="en-US"/>
              </w:rPr>
            </w:pPr>
            <w:r w:rsidRPr="004547D4">
              <w:rPr>
                <w:rFonts w:eastAsia="Calibri" w:cs="Times New Roman"/>
                <w:i/>
                <w:spacing w:val="-2"/>
                <w:sz w:val="22"/>
                <w:szCs w:val="22"/>
                <w:lang w:eastAsia="en-US"/>
              </w:rPr>
              <w:t>Łącznie (0-10)</w:t>
            </w:r>
          </w:p>
        </w:tc>
      </w:tr>
      <w:tr w:rsidR="00ED4A6B" w:rsidRPr="004547D4" w14:paraId="7E767E16" w14:textId="77777777" w:rsidTr="0039465C">
        <w:trPr>
          <w:trHeight w:val="321"/>
        </w:trPr>
        <w:tc>
          <w:tcPr>
            <w:tcW w:w="2865" w:type="dxa"/>
            <w:gridSpan w:val="4"/>
            <w:shd w:val="clear" w:color="auto" w:fill="FFFFFF" w:themeFill="background1"/>
            <w:vAlign w:val="center"/>
          </w:tcPr>
          <w:p w14:paraId="4F1A63C1" w14:textId="77777777" w:rsidR="00ED4A6B" w:rsidRPr="004547D4" w:rsidRDefault="00ED4A6B" w:rsidP="00ED4A6B">
            <w:pPr>
              <w:widowControl/>
              <w:autoSpaceDE/>
              <w:autoSpaceDN/>
              <w:adjustRightInd/>
              <w:spacing w:line="240" w:lineRule="auto"/>
              <w:rPr>
                <w:rFonts w:eastAsia="Calibri" w:cs="Times New Roman"/>
                <w:sz w:val="22"/>
                <w:szCs w:val="22"/>
                <w:lang w:eastAsia="en-US"/>
              </w:rPr>
            </w:pPr>
            <w:r w:rsidRPr="004547D4">
              <w:rPr>
                <w:rFonts w:eastAsia="Calibri" w:cs="Times New Roman"/>
                <w:b/>
                <w:sz w:val="22"/>
                <w:szCs w:val="22"/>
                <w:lang w:eastAsia="en-US"/>
              </w:rPr>
              <w:t>Dochody ogółem</w:t>
            </w:r>
          </w:p>
        </w:tc>
        <w:tc>
          <w:tcPr>
            <w:tcW w:w="567" w:type="dxa"/>
            <w:shd w:val="clear" w:color="auto" w:fill="FFFFFF" w:themeFill="background1"/>
            <w:tcMar>
              <w:left w:w="0" w:type="dxa"/>
              <w:right w:w="0" w:type="dxa"/>
            </w:tcMar>
            <w:vAlign w:val="center"/>
          </w:tcPr>
          <w:p w14:paraId="4271D3A8" w14:textId="65656566"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1,98</w:t>
            </w:r>
          </w:p>
        </w:tc>
        <w:tc>
          <w:tcPr>
            <w:tcW w:w="567" w:type="dxa"/>
            <w:gridSpan w:val="2"/>
            <w:shd w:val="clear" w:color="auto" w:fill="FFFFFF" w:themeFill="background1"/>
            <w:tcMar>
              <w:left w:w="0" w:type="dxa"/>
              <w:right w:w="0" w:type="dxa"/>
            </w:tcMar>
            <w:vAlign w:val="center"/>
          </w:tcPr>
          <w:p w14:paraId="23D1A721" w14:textId="6AE84419"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1,65</w:t>
            </w:r>
          </w:p>
        </w:tc>
        <w:tc>
          <w:tcPr>
            <w:tcW w:w="567" w:type="dxa"/>
            <w:shd w:val="clear" w:color="auto" w:fill="FFFFFF" w:themeFill="background1"/>
            <w:tcMar>
              <w:left w:w="0" w:type="dxa"/>
              <w:right w:w="0" w:type="dxa"/>
            </w:tcMar>
            <w:vAlign w:val="center"/>
          </w:tcPr>
          <w:p w14:paraId="3D056153" w14:textId="2A47FC60"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1,8</w:t>
            </w:r>
          </w:p>
        </w:tc>
        <w:tc>
          <w:tcPr>
            <w:tcW w:w="708" w:type="dxa"/>
            <w:gridSpan w:val="3"/>
            <w:shd w:val="clear" w:color="auto" w:fill="FFFFFF" w:themeFill="background1"/>
            <w:tcMar>
              <w:left w:w="0" w:type="dxa"/>
              <w:right w:w="0" w:type="dxa"/>
            </w:tcMar>
            <w:vAlign w:val="center"/>
          </w:tcPr>
          <w:p w14:paraId="127379CF" w14:textId="13EA08AB"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2,03</w:t>
            </w:r>
          </w:p>
        </w:tc>
        <w:tc>
          <w:tcPr>
            <w:tcW w:w="567" w:type="dxa"/>
            <w:gridSpan w:val="2"/>
            <w:shd w:val="clear" w:color="auto" w:fill="FFFFFF" w:themeFill="background1"/>
            <w:tcMar>
              <w:left w:w="0" w:type="dxa"/>
              <w:right w:w="0" w:type="dxa"/>
            </w:tcMar>
            <w:vAlign w:val="center"/>
          </w:tcPr>
          <w:p w14:paraId="7314A6B4" w14:textId="709FC11A"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2,33</w:t>
            </w:r>
          </w:p>
        </w:tc>
        <w:tc>
          <w:tcPr>
            <w:tcW w:w="710" w:type="dxa"/>
            <w:shd w:val="clear" w:color="auto" w:fill="FFFFFF" w:themeFill="background1"/>
            <w:tcMar>
              <w:left w:w="0" w:type="dxa"/>
              <w:right w:w="0" w:type="dxa"/>
            </w:tcMar>
            <w:vAlign w:val="center"/>
          </w:tcPr>
          <w:p w14:paraId="7A4C438B" w14:textId="6108AA54"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2,64</w:t>
            </w:r>
          </w:p>
        </w:tc>
        <w:tc>
          <w:tcPr>
            <w:tcW w:w="566" w:type="dxa"/>
            <w:gridSpan w:val="2"/>
            <w:shd w:val="clear" w:color="auto" w:fill="FFFFFF" w:themeFill="background1"/>
            <w:tcMar>
              <w:left w:w="0" w:type="dxa"/>
              <w:right w:w="0" w:type="dxa"/>
            </w:tcMar>
            <w:vAlign w:val="center"/>
          </w:tcPr>
          <w:p w14:paraId="5AC82AF3" w14:textId="491860AB"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3,05</w:t>
            </w:r>
          </w:p>
        </w:tc>
        <w:tc>
          <w:tcPr>
            <w:tcW w:w="573" w:type="dxa"/>
            <w:gridSpan w:val="4"/>
            <w:shd w:val="clear" w:color="auto" w:fill="FFFFFF" w:themeFill="background1"/>
            <w:tcMar>
              <w:left w:w="0" w:type="dxa"/>
              <w:right w:w="0" w:type="dxa"/>
            </w:tcMar>
            <w:vAlign w:val="center"/>
          </w:tcPr>
          <w:p w14:paraId="4C248511" w14:textId="4029DF7B"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3,5</w:t>
            </w:r>
          </w:p>
        </w:tc>
        <w:tc>
          <w:tcPr>
            <w:tcW w:w="570" w:type="dxa"/>
            <w:shd w:val="clear" w:color="auto" w:fill="FFFFFF" w:themeFill="background1"/>
            <w:tcMar>
              <w:left w:w="0" w:type="dxa"/>
              <w:right w:w="0" w:type="dxa"/>
            </w:tcMar>
            <w:vAlign w:val="center"/>
          </w:tcPr>
          <w:p w14:paraId="3011C062" w14:textId="1522C514"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4,05</w:t>
            </w:r>
          </w:p>
        </w:tc>
        <w:tc>
          <w:tcPr>
            <w:tcW w:w="570" w:type="dxa"/>
            <w:gridSpan w:val="2"/>
            <w:shd w:val="clear" w:color="auto" w:fill="FFFFFF" w:themeFill="background1"/>
            <w:tcMar>
              <w:left w:w="0" w:type="dxa"/>
              <w:right w:w="0" w:type="dxa"/>
            </w:tcMar>
            <w:vAlign w:val="center"/>
          </w:tcPr>
          <w:p w14:paraId="340E35F6" w14:textId="0B46274B"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4,70</w:t>
            </w:r>
          </w:p>
        </w:tc>
        <w:tc>
          <w:tcPr>
            <w:tcW w:w="570" w:type="dxa"/>
            <w:shd w:val="clear" w:color="auto" w:fill="FFFFFF" w:themeFill="background1"/>
            <w:tcMar>
              <w:left w:w="0" w:type="dxa"/>
              <w:right w:w="0" w:type="dxa"/>
            </w:tcMar>
            <w:vAlign w:val="center"/>
          </w:tcPr>
          <w:p w14:paraId="2038E75A" w14:textId="02416553" w:rsidR="00ED4A6B" w:rsidRPr="008E60FC" w:rsidRDefault="00DB0D34" w:rsidP="00101A3A">
            <w:pPr>
              <w:widowControl/>
              <w:autoSpaceDE/>
              <w:autoSpaceDN/>
              <w:adjustRightInd/>
              <w:spacing w:line="240" w:lineRule="auto"/>
              <w:jc w:val="center"/>
              <w:rPr>
                <w:rFonts w:cs="Times New Roman"/>
                <w:b/>
                <w:sz w:val="20"/>
              </w:rPr>
            </w:pPr>
            <w:r w:rsidRPr="008E60FC">
              <w:rPr>
                <w:rFonts w:cs="Times New Roman"/>
                <w:b/>
                <w:sz w:val="20"/>
              </w:rPr>
              <w:t>5,49</w:t>
            </w:r>
          </w:p>
        </w:tc>
        <w:tc>
          <w:tcPr>
            <w:tcW w:w="807" w:type="dxa"/>
            <w:gridSpan w:val="2"/>
            <w:shd w:val="clear" w:color="auto" w:fill="FFFFFF" w:themeFill="background1"/>
            <w:tcMar>
              <w:left w:w="0" w:type="dxa"/>
              <w:right w:w="0" w:type="dxa"/>
            </w:tcMar>
            <w:vAlign w:val="center"/>
          </w:tcPr>
          <w:p w14:paraId="42101806" w14:textId="6E098273" w:rsidR="00ED4A6B" w:rsidRPr="008E60FC" w:rsidRDefault="00DB0D34" w:rsidP="00101A3A">
            <w:pPr>
              <w:widowControl/>
              <w:autoSpaceDE/>
              <w:autoSpaceDN/>
              <w:adjustRightInd/>
              <w:spacing w:line="240" w:lineRule="auto"/>
              <w:jc w:val="center"/>
              <w:rPr>
                <w:rFonts w:cs="Times New Roman"/>
                <w:b/>
                <w:sz w:val="20"/>
              </w:rPr>
            </w:pPr>
            <w:r w:rsidRPr="008E60FC">
              <w:rPr>
                <w:rFonts w:cs="Times New Roman"/>
                <w:b/>
                <w:sz w:val="20"/>
              </w:rPr>
              <w:t>33,22</w:t>
            </w:r>
          </w:p>
        </w:tc>
      </w:tr>
      <w:tr w:rsidR="00ED4A6B" w:rsidRPr="004547D4" w14:paraId="7F24DD03" w14:textId="77777777" w:rsidTr="0039465C">
        <w:trPr>
          <w:trHeight w:val="321"/>
        </w:trPr>
        <w:tc>
          <w:tcPr>
            <w:tcW w:w="2865" w:type="dxa"/>
            <w:gridSpan w:val="4"/>
            <w:shd w:val="clear" w:color="auto" w:fill="FFFFFF" w:themeFill="background1"/>
            <w:vAlign w:val="center"/>
          </w:tcPr>
          <w:p w14:paraId="22CFFF04" w14:textId="23EEF10F" w:rsidR="00ED4A6B" w:rsidRPr="004547D4" w:rsidRDefault="00ED4A6B" w:rsidP="00ED4A6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budżet państwa  – ULC (</w:t>
            </w:r>
            <w:r w:rsidRPr="004547D4">
              <w:rPr>
                <w:rFonts w:eastAsia="Calibri" w:cs="Times New Roman"/>
                <w:sz w:val="22"/>
                <w:szCs w:val="22"/>
                <w:lang w:eastAsia="en-US"/>
              </w:rPr>
              <w:t>opłaty lotnicze)</w:t>
            </w:r>
          </w:p>
        </w:tc>
        <w:tc>
          <w:tcPr>
            <w:tcW w:w="567" w:type="dxa"/>
            <w:shd w:val="clear" w:color="auto" w:fill="FFFFFF" w:themeFill="background1"/>
            <w:tcMar>
              <w:left w:w="0" w:type="dxa"/>
              <w:right w:w="0" w:type="dxa"/>
            </w:tcMar>
            <w:vAlign w:val="center"/>
          </w:tcPr>
          <w:p w14:paraId="2076FB05" w14:textId="64CC77CB"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1,1</w:t>
            </w:r>
          </w:p>
        </w:tc>
        <w:tc>
          <w:tcPr>
            <w:tcW w:w="567" w:type="dxa"/>
            <w:gridSpan w:val="2"/>
            <w:shd w:val="clear" w:color="auto" w:fill="FFFFFF" w:themeFill="background1"/>
            <w:tcMar>
              <w:left w:w="0" w:type="dxa"/>
              <w:right w:w="0" w:type="dxa"/>
            </w:tcMar>
            <w:vAlign w:val="center"/>
          </w:tcPr>
          <w:p w14:paraId="0F88BBFF" w14:textId="48DD171C"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0,67</w:t>
            </w:r>
          </w:p>
        </w:tc>
        <w:tc>
          <w:tcPr>
            <w:tcW w:w="567" w:type="dxa"/>
            <w:shd w:val="clear" w:color="auto" w:fill="FFFFFF" w:themeFill="background1"/>
            <w:tcMar>
              <w:left w:w="0" w:type="dxa"/>
              <w:right w:w="0" w:type="dxa"/>
            </w:tcMar>
            <w:vAlign w:val="center"/>
          </w:tcPr>
          <w:p w14:paraId="0BA0DC90" w14:textId="07F31468"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0,7</w:t>
            </w:r>
          </w:p>
        </w:tc>
        <w:tc>
          <w:tcPr>
            <w:tcW w:w="708" w:type="dxa"/>
            <w:gridSpan w:val="3"/>
            <w:shd w:val="clear" w:color="auto" w:fill="FFFFFF" w:themeFill="background1"/>
            <w:tcMar>
              <w:left w:w="0" w:type="dxa"/>
              <w:right w:w="0" w:type="dxa"/>
            </w:tcMar>
            <w:vAlign w:val="center"/>
          </w:tcPr>
          <w:p w14:paraId="353A3942" w14:textId="0CBE2DFF"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0,81</w:t>
            </w:r>
          </w:p>
        </w:tc>
        <w:tc>
          <w:tcPr>
            <w:tcW w:w="567" w:type="dxa"/>
            <w:gridSpan w:val="2"/>
            <w:shd w:val="clear" w:color="auto" w:fill="FFFFFF" w:themeFill="background1"/>
            <w:tcMar>
              <w:left w:w="0" w:type="dxa"/>
              <w:right w:w="0" w:type="dxa"/>
            </w:tcMar>
            <w:vAlign w:val="center"/>
          </w:tcPr>
          <w:p w14:paraId="15B3749E" w14:textId="7073489F"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0,94</w:t>
            </w:r>
          </w:p>
        </w:tc>
        <w:tc>
          <w:tcPr>
            <w:tcW w:w="710" w:type="dxa"/>
            <w:shd w:val="clear" w:color="auto" w:fill="FFFFFF" w:themeFill="background1"/>
            <w:tcMar>
              <w:left w:w="0" w:type="dxa"/>
              <w:right w:w="0" w:type="dxa"/>
            </w:tcMar>
            <w:vAlign w:val="center"/>
          </w:tcPr>
          <w:p w14:paraId="208D8A7F" w14:textId="0B7F0DA0"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1,09</w:t>
            </w:r>
          </w:p>
        </w:tc>
        <w:tc>
          <w:tcPr>
            <w:tcW w:w="566" w:type="dxa"/>
            <w:gridSpan w:val="2"/>
            <w:shd w:val="clear" w:color="auto" w:fill="FFFFFF" w:themeFill="background1"/>
            <w:tcMar>
              <w:left w:w="0" w:type="dxa"/>
              <w:right w:w="0" w:type="dxa"/>
            </w:tcMar>
            <w:vAlign w:val="center"/>
          </w:tcPr>
          <w:p w14:paraId="7106ED58" w14:textId="348FCB82"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1,29</w:t>
            </w:r>
          </w:p>
        </w:tc>
        <w:tc>
          <w:tcPr>
            <w:tcW w:w="573" w:type="dxa"/>
            <w:gridSpan w:val="4"/>
            <w:shd w:val="clear" w:color="auto" w:fill="FFFFFF" w:themeFill="background1"/>
            <w:tcMar>
              <w:left w:w="0" w:type="dxa"/>
              <w:right w:w="0" w:type="dxa"/>
            </w:tcMar>
            <w:vAlign w:val="center"/>
          </w:tcPr>
          <w:p w14:paraId="31CC468D" w14:textId="4AB59E89"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1,52</w:t>
            </w:r>
          </w:p>
        </w:tc>
        <w:tc>
          <w:tcPr>
            <w:tcW w:w="570" w:type="dxa"/>
            <w:shd w:val="clear" w:color="auto" w:fill="FFFFFF" w:themeFill="background1"/>
            <w:tcMar>
              <w:left w:w="0" w:type="dxa"/>
              <w:right w:w="0" w:type="dxa"/>
            </w:tcMar>
            <w:vAlign w:val="center"/>
          </w:tcPr>
          <w:p w14:paraId="04BB5330" w14:textId="02246EA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1,81</w:t>
            </w:r>
          </w:p>
        </w:tc>
        <w:tc>
          <w:tcPr>
            <w:tcW w:w="570" w:type="dxa"/>
            <w:gridSpan w:val="2"/>
            <w:shd w:val="clear" w:color="auto" w:fill="FFFFFF" w:themeFill="background1"/>
            <w:tcMar>
              <w:left w:w="0" w:type="dxa"/>
              <w:right w:w="0" w:type="dxa"/>
            </w:tcMar>
            <w:vAlign w:val="center"/>
          </w:tcPr>
          <w:p w14:paraId="21730240" w14:textId="1D52877C"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2,17</w:t>
            </w:r>
          </w:p>
        </w:tc>
        <w:tc>
          <w:tcPr>
            <w:tcW w:w="570" w:type="dxa"/>
            <w:shd w:val="clear" w:color="auto" w:fill="FFFFFF" w:themeFill="background1"/>
            <w:tcMar>
              <w:left w:w="0" w:type="dxa"/>
              <w:right w:w="0" w:type="dxa"/>
            </w:tcMar>
            <w:vAlign w:val="center"/>
          </w:tcPr>
          <w:p w14:paraId="542A125D" w14:textId="4EE409A3"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2,61</w:t>
            </w:r>
          </w:p>
        </w:tc>
        <w:tc>
          <w:tcPr>
            <w:tcW w:w="807" w:type="dxa"/>
            <w:gridSpan w:val="2"/>
            <w:shd w:val="clear" w:color="auto" w:fill="FFFFFF" w:themeFill="background1"/>
            <w:tcMar>
              <w:left w:w="0" w:type="dxa"/>
              <w:right w:w="0" w:type="dxa"/>
            </w:tcMar>
            <w:vAlign w:val="center"/>
          </w:tcPr>
          <w:p w14:paraId="6D0F4DB4" w14:textId="1F5D070C" w:rsidR="00ED4A6B" w:rsidRPr="008E60FC" w:rsidRDefault="00ED4A6B" w:rsidP="00101A3A">
            <w:pPr>
              <w:widowControl/>
              <w:autoSpaceDE/>
              <w:autoSpaceDN/>
              <w:adjustRightInd/>
              <w:spacing w:line="240" w:lineRule="auto"/>
              <w:jc w:val="center"/>
              <w:rPr>
                <w:rFonts w:eastAsia="Calibri" w:cs="Times New Roman"/>
                <w:spacing w:val="-2"/>
                <w:sz w:val="20"/>
                <w:lang w:eastAsia="en-US"/>
              </w:rPr>
            </w:pPr>
            <w:r w:rsidRPr="008E60FC">
              <w:rPr>
                <w:rFonts w:eastAsia="Calibri" w:cs="Times New Roman"/>
                <w:spacing w:val="-2"/>
                <w:sz w:val="20"/>
                <w:lang w:eastAsia="en-US"/>
              </w:rPr>
              <w:t>14,71</w:t>
            </w:r>
          </w:p>
        </w:tc>
      </w:tr>
      <w:tr w:rsidR="00ED4A6B" w:rsidRPr="004547D4" w14:paraId="0F3312A3" w14:textId="77777777" w:rsidTr="0039465C">
        <w:trPr>
          <w:trHeight w:val="321"/>
        </w:trPr>
        <w:tc>
          <w:tcPr>
            <w:tcW w:w="2865" w:type="dxa"/>
            <w:gridSpan w:val="4"/>
            <w:shd w:val="clear" w:color="auto" w:fill="FFFFFF" w:themeFill="background1"/>
            <w:vAlign w:val="center"/>
          </w:tcPr>
          <w:p w14:paraId="680B0458" w14:textId="73B8FD54" w:rsidR="00ED4A6B" w:rsidDel="001228C5" w:rsidRDefault="00ED4A6B" w:rsidP="00ED4A6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JST</w:t>
            </w:r>
          </w:p>
        </w:tc>
        <w:tc>
          <w:tcPr>
            <w:tcW w:w="567" w:type="dxa"/>
            <w:shd w:val="clear" w:color="auto" w:fill="FFFFFF" w:themeFill="background1"/>
            <w:tcMar>
              <w:left w:w="0" w:type="dxa"/>
              <w:right w:w="0" w:type="dxa"/>
            </w:tcMar>
            <w:vAlign w:val="center"/>
          </w:tcPr>
          <w:p w14:paraId="09B2A24D" w14:textId="201D8455"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67" w:type="dxa"/>
            <w:gridSpan w:val="2"/>
            <w:shd w:val="clear" w:color="auto" w:fill="FFFFFF" w:themeFill="background1"/>
            <w:tcMar>
              <w:left w:w="0" w:type="dxa"/>
              <w:right w:w="0" w:type="dxa"/>
            </w:tcMar>
            <w:vAlign w:val="center"/>
          </w:tcPr>
          <w:p w14:paraId="250920E4" w14:textId="276A8147"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67" w:type="dxa"/>
            <w:shd w:val="clear" w:color="auto" w:fill="FFFFFF" w:themeFill="background1"/>
            <w:tcMar>
              <w:left w:w="0" w:type="dxa"/>
              <w:right w:w="0" w:type="dxa"/>
            </w:tcMar>
            <w:vAlign w:val="center"/>
          </w:tcPr>
          <w:p w14:paraId="6A3F9827" w14:textId="3BEE56D0"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708" w:type="dxa"/>
            <w:gridSpan w:val="3"/>
            <w:shd w:val="clear" w:color="auto" w:fill="FFFFFF" w:themeFill="background1"/>
            <w:tcMar>
              <w:left w:w="0" w:type="dxa"/>
              <w:right w:w="0" w:type="dxa"/>
            </w:tcMar>
            <w:vAlign w:val="center"/>
          </w:tcPr>
          <w:p w14:paraId="24BCFB64" w14:textId="4185311F"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67" w:type="dxa"/>
            <w:gridSpan w:val="2"/>
            <w:shd w:val="clear" w:color="auto" w:fill="FFFFFF" w:themeFill="background1"/>
            <w:tcMar>
              <w:left w:w="0" w:type="dxa"/>
              <w:right w:w="0" w:type="dxa"/>
            </w:tcMar>
            <w:vAlign w:val="center"/>
          </w:tcPr>
          <w:p w14:paraId="01050266" w14:textId="2DBA37A6"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710" w:type="dxa"/>
            <w:shd w:val="clear" w:color="auto" w:fill="FFFFFF" w:themeFill="background1"/>
            <w:tcMar>
              <w:left w:w="0" w:type="dxa"/>
              <w:right w:w="0" w:type="dxa"/>
            </w:tcMar>
            <w:vAlign w:val="center"/>
          </w:tcPr>
          <w:p w14:paraId="3839B914" w14:textId="5BF5966C"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66" w:type="dxa"/>
            <w:gridSpan w:val="2"/>
            <w:shd w:val="clear" w:color="auto" w:fill="FFFFFF" w:themeFill="background1"/>
            <w:tcMar>
              <w:left w:w="0" w:type="dxa"/>
              <w:right w:w="0" w:type="dxa"/>
            </w:tcMar>
            <w:vAlign w:val="center"/>
          </w:tcPr>
          <w:p w14:paraId="197E0CAF" w14:textId="77989322"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73" w:type="dxa"/>
            <w:gridSpan w:val="4"/>
            <w:shd w:val="clear" w:color="auto" w:fill="FFFFFF" w:themeFill="background1"/>
            <w:tcMar>
              <w:left w:w="0" w:type="dxa"/>
              <w:right w:w="0" w:type="dxa"/>
            </w:tcMar>
            <w:vAlign w:val="center"/>
          </w:tcPr>
          <w:p w14:paraId="13B96168" w14:textId="335180C1"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70" w:type="dxa"/>
            <w:shd w:val="clear" w:color="auto" w:fill="FFFFFF" w:themeFill="background1"/>
            <w:tcMar>
              <w:left w:w="0" w:type="dxa"/>
              <w:right w:w="0" w:type="dxa"/>
            </w:tcMar>
            <w:vAlign w:val="center"/>
          </w:tcPr>
          <w:p w14:paraId="49DA7F5D" w14:textId="58C53A43"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70" w:type="dxa"/>
            <w:gridSpan w:val="2"/>
            <w:shd w:val="clear" w:color="auto" w:fill="FFFFFF" w:themeFill="background1"/>
            <w:tcMar>
              <w:left w:w="0" w:type="dxa"/>
              <w:right w:w="0" w:type="dxa"/>
            </w:tcMar>
            <w:vAlign w:val="center"/>
          </w:tcPr>
          <w:p w14:paraId="5E54EF8B" w14:textId="2159077D"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570" w:type="dxa"/>
            <w:shd w:val="clear" w:color="auto" w:fill="FFFFFF" w:themeFill="background1"/>
            <w:tcMar>
              <w:left w:w="0" w:type="dxa"/>
              <w:right w:w="0" w:type="dxa"/>
            </w:tcMar>
            <w:vAlign w:val="center"/>
          </w:tcPr>
          <w:p w14:paraId="7B76A2C0" w14:textId="6F811682" w:rsidR="00ED4A6B" w:rsidRPr="008E60FC" w:rsidRDefault="00101A3A" w:rsidP="00101A3A">
            <w:pPr>
              <w:widowControl/>
              <w:autoSpaceDE/>
              <w:autoSpaceDN/>
              <w:adjustRightInd/>
              <w:spacing w:line="240" w:lineRule="auto"/>
              <w:jc w:val="center"/>
              <w:rPr>
                <w:rFonts w:cs="Times New Roman"/>
                <w:sz w:val="20"/>
              </w:rPr>
            </w:pPr>
            <w:r w:rsidRPr="008E60FC">
              <w:rPr>
                <w:rFonts w:cs="Times New Roman"/>
                <w:sz w:val="20"/>
              </w:rPr>
              <w:t>0</w:t>
            </w:r>
          </w:p>
        </w:tc>
        <w:tc>
          <w:tcPr>
            <w:tcW w:w="807" w:type="dxa"/>
            <w:gridSpan w:val="2"/>
            <w:shd w:val="clear" w:color="auto" w:fill="FFFFFF" w:themeFill="background1"/>
            <w:tcMar>
              <w:left w:w="0" w:type="dxa"/>
              <w:right w:w="0" w:type="dxa"/>
            </w:tcMar>
            <w:vAlign w:val="center"/>
          </w:tcPr>
          <w:p w14:paraId="114E983D" w14:textId="464959BC" w:rsidR="00ED4A6B" w:rsidRPr="008E60FC" w:rsidRDefault="00101A3A" w:rsidP="00101A3A">
            <w:pPr>
              <w:widowControl/>
              <w:autoSpaceDE/>
              <w:autoSpaceDN/>
              <w:adjustRightInd/>
              <w:spacing w:line="240" w:lineRule="auto"/>
              <w:jc w:val="center"/>
              <w:rPr>
                <w:rFonts w:eastAsia="Calibri" w:cs="Times New Roman"/>
                <w:spacing w:val="-2"/>
                <w:sz w:val="20"/>
                <w:lang w:eastAsia="en-US"/>
              </w:rPr>
            </w:pPr>
            <w:r w:rsidRPr="008E60FC">
              <w:rPr>
                <w:rFonts w:eastAsia="Calibri" w:cs="Times New Roman"/>
                <w:spacing w:val="-2"/>
                <w:sz w:val="20"/>
                <w:lang w:eastAsia="en-US"/>
              </w:rPr>
              <w:t>0</w:t>
            </w:r>
          </w:p>
        </w:tc>
      </w:tr>
      <w:tr w:rsidR="00E342F6" w:rsidRPr="004547D4" w14:paraId="251659F4" w14:textId="77777777" w:rsidTr="0039465C">
        <w:trPr>
          <w:trHeight w:val="321"/>
        </w:trPr>
        <w:tc>
          <w:tcPr>
            <w:tcW w:w="2865" w:type="dxa"/>
            <w:gridSpan w:val="4"/>
            <w:shd w:val="clear" w:color="auto" w:fill="FFFFFF" w:themeFill="background1"/>
            <w:vAlign w:val="center"/>
          </w:tcPr>
          <w:p w14:paraId="443FA836" w14:textId="35703E45" w:rsidR="00E342F6" w:rsidRPr="004547D4" w:rsidRDefault="00E342F6" w:rsidP="00E342F6">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pozostałe jednostki - PAŻP</w:t>
            </w:r>
            <w:r w:rsidRPr="004547D4">
              <w:rPr>
                <w:rFonts w:eastAsia="Calibri" w:cs="Times New Roman"/>
                <w:sz w:val="22"/>
                <w:szCs w:val="22"/>
                <w:lang w:eastAsia="en-US"/>
              </w:rPr>
              <w:t xml:space="preserve"> </w:t>
            </w:r>
            <w:r>
              <w:rPr>
                <w:rFonts w:eastAsia="Calibri" w:cs="Times New Roman"/>
                <w:sz w:val="22"/>
                <w:szCs w:val="22"/>
                <w:lang w:eastAsia="en-US"/>
              </w:rPr>
              <w:t>(</w:t>
            </w:r>
            <w:r w:rsidRPr="004547D4">
              <w:rPr>
                <w:rFonts w:eastAsia="Calibri" w:cs="Times New Roman"/>
                <w:sz w:val="22"/>
                <w:szCs w:val="22"/>
                <w:lang w:eastAsia="en-US"/>
              </w:rPr>
              <w:t>opłaty – strefy geograficzne dla BSP)</w:t>
            </w:r>
          </w:p>
        </w:tc>
        <w:tc>
          <w:tcPr>
            <w:tcW w:w="567"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5924FDA7" w14:textId="59AFBA38"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0,88</w:t>
            </w:r>
          </w:p>
        </w:tc>
        <w:tc>
          <w:tcPr>
            <w:tcW w:w="567"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7B23C7EE" w14:textId="4587D7D3"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0,98</w:t>
            </w:r>
          </w:p>
        </w:tc>
        <w:tc>
          <w:tcPr>
            <w:tcW w:w="567"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26B9F49E" w14:textId="076F9F8F"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1,10</w:t>
            </w:r>
          </w:p>
        </w:tc>
        <w:tc>
          <w:tcPr>
            <w:tcW w:w="708" w:type="dxa"/>
            <w:gridSpan w:val="3"/>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46EA0E51" w14:textId="6048E59F"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1,22</w:t>
            </w:r>
          </w:p>
        </w:tc>
        <w:tc>
          <w:tcPr>
            <w:tcW w:w="567"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1C3406C1" w14:textId="679DF933"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1,39</w:t>
            </w:r>
          </w:p>
        </w:tc>
        <w:tc>
          <w:tcPr>
            <w:tcW w:w="710"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12F3DEFA" w14:textId="326DFDB5"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1,55</w:t>
            </w:r>
          </w:p>
        </w:tc>
        <w:tc>
          <w:tcPr>
            <w:tcW w:w="566"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30BDCD86" w14:textId="40AADCF9"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1,76</w:t>
            </w:r>
          </w:p>
        </w:tc>
        <w:tc>
          <w:tcPr>
            <w:tcW w:w="573" w:type="dxa"/>
            <w:gridSpan w:val="4"/>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7C826A10" w14:textId="75EC1C96"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1,98</w:t>
            </w:r>
          </w:p>
        </w:tc>
        <w:tc>
          <w:tcPr>
            <w:tcW w:w="570"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322BE698" w14:textId="7E11A86A"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2,24</w:t>
            </w:r>
          </w:p>
        </w:tc>
        <w:tc>
          <w:tcPr>
            <w:tcW w:w="570"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593A1595" w14:textId="0676E984"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2,53</w:t>
            </w:r>
          </w:p>
        </w:tc>
        <w:tc>
          <w:tcPr>
            <w:tcW w:w="570" w:type="dxa"/>
            <w:tcBorders>
              <w:top w:val="single" w:sz="4" w:space="0" w:color="000000"/>
              <w:left w:val="single" w:sz="8" w:space="0" w:color="000000"/>
              <w:bottom w:val="single" w:sz="8" w:space="0" w:color="auto"/>
              <w:right w:val="single" w:sz="8" w:space="0" w:color="auto"/>
            </w:tcBorders>
            <w:shd w:val="clear" w:color="auto" w:fill="auto"/>
            <w:tcMar>
              <w:left w:w="0" w:type="dxa"/>
              <w:right w:w="0" w:type="dxa"/>
            </w:tcMar>
            <w:vAlign w:val="center"/>
          </w:tcPr>
          <w:p w14:paraId="245AD018" w14:textId="1AE91BF0" w:rsidR="00E342F6" w:rsidRPr="008E60FC" w:rsidRDefault="00E342F6" w:rsidP="00E342F6">
            <w:pPr>
              <w:widowControl/>
              <w:autoSpaceDE/>
              <w:autoSpaceDN/>
              <w:adjustRightInd/>
              <w:spacing w:line="240" w:lineRule="auto"/>
              <w:jc w:val="center"/>
              <w:rPr>
                <w:rFonts w:eastAsia="Calibri" w:cs="Times New Roman"/>
                <w:sz w:val="20"/>
                <w:lang w:eastAsia="en-US"/>
              </w:rPr>
            </w:pPr>
            <w:r w:rsidRPr="008E60FC">
              <w:rPr>
                <w:rFonts w:cs="Times New Roman"/>
                <w:color w:val="000000"/>
                <w:sz w:val="20"/>
              </w:rPr>
              <w:t>2,88</w:t>
            </w:r>
          </w:p>
        </w:tc>
        <w:tc>
          <w:tcPr>
            <w:tcW w:w="807" w:type="dxa"/>
            <w:gridSpan w:val="2"/>
            <w:shd w:val="clear" w:color="auto" w:fill="FFFFFF" w:themeFill="background1"/>
            <w:tcMar>
              <w:left w:w="0" w:type="dxa"/>
              <w:right w:w="0" w:type="dxa"/>
            </w:tcMar>
            <w:vAlign w:val="center"/>
          </w:tcPr>
          <w:p w14:paraId="4AEDEFD3" w14:textId="7BE17564" w:rsidR="00E342F6" w:rsidRPr="008E60FC" w:rsidRDefault="00E342F6" w:rsidP="00E342F6">
            <w:pPr>
              <w:widowControl/>
              <w:autoSpaceDE/>
              <w:autoSpaceDN/>
              <w:adjustRightInd/>
              <w:spacing w:line="240" w:lineRule="auto"/>
              <w:jc w:val="center"/>
              <w:rPr>
                <w:rFonts w:eastAsia="Calibri" w:cs="Times New Roman"/>
                <w:spacing w:val="-2"/>
                <w:sz w:val="20"/>
                <w:lang w:eastAsia="en-US"/>
              </w:rPr>
            </w:pPr>
            <w:r w:rsidRPr="008E60FC">
              <w:rPr>
                <w:rFonts w:cs="Times New Roman"/>
                <w:sz w:val="20"/>
              </w:rPr>
              <w:t>18,51</w:t>
            </w:r>
          </w:p>
        </w:tc>
      </w:tr>
      <w:tr w:rsidR="007532AB" w:rsidRPr="004547D4" w14:paraId="0EEC4DBA" w14:textId="77777777" w:rsidTr="0039465C">
        <w:trPr>
          <w:trHeight w:val="330"/>
        </w:trPr>
        <w:tc>
          <w:tcPr>
            <w:tcW w:w="2865" w:type="dxa"/>
            <w:gridSpan w:val="4"/>
            <w:shd w:val="clear" w:color="auto" w:fill="FFFFFF" w:themeFill="background1"/>
            <w:vAlign w:val="center"/>
          </w:tcPr>
          <w:p w14:paraId="5D088C9C"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b/>
                <w:sz w:val="22"/>
                <w:szCs w:val="22"/>
                <w:lang w:eastAsia="en-US"/>
              </w:rPr>
              <w:t>Wydatki ogółem</w:t>
            </w:r>
          </w:p>
        </w:tc>
        <w:tc>
          <w:tcPr>
            <w:tcW w:w="567" w:type="dxa"/>
            <w:tcBorders>
              <w:top w:val="nil"/>
              <w:left w:val="nil"/>
              <w:bottom w:val="nil"/>
              <w:right w:val="single" w:sz="8" w:space="0" w:color="auto"/>
            </w:tcBorders>
            <w:shd w:val="clear" w:color="auto" w:fill="auto"/>
            <w:tcMar>
              <w:left w:w="0" w:type="dxa"/>
              <w:right w:w="0" w:type="dxa"/>
            </w:tcMar>
            <w:vAlign w:val="center"/>
          </w:tcPr>
          <w:p w14:paraId="2C071E9B" w14:textId="427D39C7"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1,68</w:t>
            </w:r>
          </w:p>
        </w:tc>
        <w:tc>
          <w:tcPr>
            <w:tcW w:w="567" w:type="dxa"/>
            <w:gridSpan w:val="2"/>
            <w:tcBorders>
              <w:top w:val="nil"/>
              <w:left w:val="nil"/>
              <w:bottom w:val="nil"/>
              <w:right w:val="single" w:sz="8" w:space="0" w:color="auto"/>
            </w:tcBorders>
            <w:shd w:val="clear" w:color="auto" w:fill="auto"/>
            <w:tcMar>
              <w:left w:w="0" w:type="dxa"/>
              <w:right w:w="0" w:type="dxa"/>
            </w:tcMar>
            <w:vAlign w:val="center"/>
          </w:tcPr>
          <w:p w14:paraId="282DE34C" w14:textId="591E5777"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10,36</w:t>
            </w:r>
          </w:p>
        </w:tc>
        <w:tc>
          <w:tcPr>
            <w:tcW w:w="567" w:type="dxa"/>
            <w:tcBorders>
              <w:top w:val="nil"/>
              <w:left w:val="nil"/>
              <w:bottom w:val="nil"/>
              <w:right w:val="single" w:sz="8" w:space="0" w:color="auto"/>
            </w:tcBorders>
            <w:shd w:val="clear" w:color="auto" w:fill="auto"/>
            <w:tcMar>
              <w:left w:w="0" w:type="dxa"/>
              <w:right w:w="0" w:type="dxa"/>
            </w:tcMar>
            <w:vAlign w:val="center"/>
          </w:tcPr>
          <w:p w14:paraId="03759CED" w14:textId="539F43E8"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10,90</w:t>
            </w:r>
          </w:p>
        </w:tc>
        <w:tc>
          <w:tcPr>
            <w:tcW w:w="708" w:type="dxa"/>
            <w:gridSpan w:val="3"/>
            <w:tcBorders>
              <w:top w:val="nil"/>
              <w:left w:val="nil"/>
              <w:bottom w:val="nil"/>
              <w:right w:val="single" w:sz="8" w:space="0" w:color="auto"/>
            </w:tcBorders>
            <w:shd w:val="clear" w:color="auto" w:fill="auto"/>
            <w:tcMar>
              <w:left w:w="0" w:type="dxa"/>
              <w:right w:w="0" w:type="dxa"/>
            </w:tcMar>
            <w:vAlign w:val="center"/>
          </w:tcPr>
          <w:p w14:paraId="5211DA0F" w14:textId="4D478EAC"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11,83</w:t>
            </w:r>
          </w:p>
        </w:tc>
        <w:tc>
          <w:tcPr>
            <w:tcW w:w="567" w:type="dxa"/>
            <w:gridSpan w:val="2"/>
            <w:tcBorders>
              <w:top w:val="nil"/>
              <w:left w:val="nil"/>
              <w:bottom w:val="nil"/>
              <w:right w:val="single" w:sz="8" w:space="0" w:color="auto"/>
            </w:tcBorders>
            <w:shd w:val="clear" w:color="auto" w:fill="auto"/>
            <w:tcMar>
              <w:left w:w="0" w:type="dxa"/>
              <w:right w:w="0" w:type="dxa"/>
            </w:tcMar>
            <w:vAlign w:val="center"/>
          </w:tcPr>
          <w:p w14:paraId="11E74080" w14:textId="4D39471B"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12,41</w:t>
            </w:r>
          </w:p>
        </w:tc>
        <w:tc>
          <w:tcPr>
            <w:tcW w:w="710" w:type="dxa"/>
            <w:tcBorders>
              <w:top w:val="nil"/>
              <w:left w:val="nil"/>
              <w:bottom w:val="nil"/>
              <w:right w:val="single" w:sz="8" w:space="0" w:color="auto"/>
            </w:tcBorders>
            <w:shd w:val="clear" w:color="auto" w:fill="auto"/>
            <w:tcMar>
              <w:left w:w="0" w:type="dxa"/>
              <w:right w:w="0" w:type="dxa"/>
            </w:tcMar>
            <w:vAlign w:val="center"/>
          </w:tcPr>
          <w:p w14:paraId="6FA23A2D" w14:textId="2969C2DB"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12,69</w:t>
            </w:r>
          </w:p>
        </w:tc>
        <w:tc>
          <w:tcPr>
            <w:tcW w:w="566" w:type="dxa"/>
            <w:gridSpan w:val="2"/>
            <w:tcBorders>
              <w:top w:val="nil"/>
              <w:left w:val="nil"/>
              <w:bottom w:val="nil"/>
              <w:right w:val="single" w:sz="8" w:space="0" w:color="auto"/>
            </w:tcBorders>
            <w:shd w:val="clear" w:color="auto" w:fill="auto"/>
            <w:tcMar>
              <w:left w:w="0" w:type="dxa"/>
              <w:right w:w="0" w:type="dxa"/>
            </w:tcMar>
            <w:vAlign w:val="center"/>
          </w:tcPr>
          <w:p w14:paraId="3D9EBBB8" w14:textId="5965228D"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4,12</w:t>
            </w:r>
          </w:p>
        </w:tc>
        <w:tc>
          <w:tcPr>
            <w:tcW w:w="573" w:type="dxa"/>
            <w:gridSpan w:val="4"/>
            <w:tcBorders>
              <w:top w:val="nil"/>
              <w:left w:val="nil"/>
              <w:bottom w:val="nil"/>
              <w:right w:val="single" w:sz="8" w:space="0" w:color="auto"/>
            </w:tcBorders>
            <w:shd w:val="clear" w:color="auto" w:fill="auto"/>
            <w:tcMar>
              <w:left w:w="0" w:type="dxa"/>
              <w:right w:w="0" w:type="dxa"/>
            </w:tcMar>
            <w:vAlign w:val="center"/>
          </w:tcPr>
          <w:p w14:paraId="0D9466ED" w14:textId="17EB50A5"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4,57</w:t>
            </w:r>
          </w:p>
        </w:tc>
        <w:tc>
          <w:tcPr>
            <w:tcW w:w="570" w:type="dxa"/>
            <w:tcBorders>
              <w:top w:val="nil"/>
              <w:left w:val="nil"/>
              <w:bottom w:val="nil"/>
              <w:right w:val="single" w:sz="8" w:space="0" w:color="auto"/>
            </w:tcBorders>
            <w:shd w:val="clear" w:color="auto" w:fill="auto"/>
            <w:tcMar>
              <w:left w:w="0" w:type="dxa"/>
              <w:right w:w="0" w:type="dxa"/>
            </w:tcMar>
            <w:vAlign w:val="center"/>
          </w:tcPr>
          <w:p w14:paraId="113D46DA" w14:textId="3981801E"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5,07</w:t>
            </w:r>
          </w:p>
        </w:tc>
        <w:tc>
          <w:tcPr>
            <w:tcW w:w="570" w:type="dxa"/>
            <w:gridSpan w:val="2"/>
            <w:tcBorders>
              <w:top w:val="nil"/>
              <w:left w:val="nil"/>
              <w:bottom w:val="nil"/>
              <w:right w:val="single" w:sz="8" w:space="0" w:color="auto"/>
            </w:tcBorders>
            <w:shd w:val="clear" w:color="auto" w:fill="auto"/>
            <w:tcMar>
              <w:left w:w="0" w:type="dxa"/>
              <w:right w:w="0" w:type="dxa"/>
            </w:tcMar>
            <w:vAlign w:val="center"/>
          </w:tcPr>
          <w:p w14:paraId="76D3C7DF" w14:textId="381CBEE3"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5,61</w:t>
            </w:r>
          </w:p>
        </w:tc>
        <w:tc>
          <w:tcPr>
            <w:tcW w:w="570" w:type="dxa"/>
            <w:tcBorders>
              <w:top w:val="nil"/>
              <w:left w:val="nil"/>
              <w:bottom w:val="nil"/>
              <w:right w:val="single" w:sz="8" w:space="0" w:color="auto"/>
            </w:tcBorders>
            <w:shd w:val="clear" w:color="auto" w:fill="auto"/>
            <w:tcMar>
              <w:left w:w="0" w:type="dxa"/>
              <w:right w:w="0" w:type="dxa"/>
            </w:tcMar>
            <w:vAlign w:val="center"/>
          </w:tcPr>
          <w:p w14:paraId="35A7BC6F" w14:textId="41D3E8F3"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6,23</w:t>
            </w:r>
          </w:p>
        </w:tc>
        <w:tc>
          <w:tcPr>
            <w:tcW w:w="807" w:type="dxa"/>
            <w:gridSpan w:val="2"/>
            <w:tcBorders>
              <w:top w:val="nil"/>
              <w:left w:val="nil"/>
              <w:bottom w:val="nil"/>
              <w:right w:val="single" w:sz="8" w:space="0" w:color="auto"/>
            </w:tcBorders>
            <w:shd w:val="clear" w:color="auto" w:fill="auto"/>
            <w:tcMar>
              <w:left w:w="0" w:type="dxa"/>
              <w:right w:w="0" w:type="dxa"/>
            </w:tcMar>
            <w:vAlign w:val="center"/>
          </w:tcPr>
          <w:p w14:paraId="7EF4C311" w14:textId="799C8DFD" w:rsidR="007532AB" w:rsidRPr="007532AB" w:rsidRDefault="007532AB" w:rsidP="007532AB">
            <w:pPr>
              <w:widowControl/>
              <w:autoSpaceDE/>
              <w:autoSpaceDN/>
              <w:adjustRightInd/>
              <w:spacing w:line="240" w:lineRule="auto"/>
              <w:jc w:val="center"/>
              <w:rPr>
                <w:rFonts w:cs="Times New Roman"/>
                <w:b/>
                <w:sz w:val="20"/>
              </w:rPr>
            </w:pPr>
            <w:r w:rsidRPr="007532AB">
              <w:rPr>
                <w:rFonts w:cs="Times New Roman"/>
                <w:b/>
                <w:sz w:val="20"/>
              </w:rPr>
              <w:t>85,47</w:t>
            </w:r>
          </w:p>
        </w:tc>
      </w:tr>
      <w:tr w:rsidR="007532AB" w:rsidRPr="004547D4" w14:paraId="788B9FFF" w14:textId="77777777" w:rsidTr="0039465C">
        <w:trPr>
          <w:trHeight w:val="330"/>
        </w:trPr>
        <w:tc>
          <w:tcPr>
            <w:tcW w:w="2865" w:type="dxa"/>
            <w:gridSpan w:val="4"/>
            <w:shd w:val="clear" w:color="auto" w:fill="FFFFFF" w:themeFill="background1"/>
            <w:vAlign w:val="center"/>
          </w:tcPr>
          <w:p w14:paraId="1A6E9770" w14:textId="2A3EDFF3" w:rsidR="007532AB" w:rsidRPr="004547D4" w:rsidRDefault="007532AB" w:rsidP="007532A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b</w:t>
            </w:r>
            <w:r w:rsidRPr="004547D4">
              <w:rPr>
                <w:rFonts w:eastAsia="Calibri" w:cs="Times New Roman"/>
                <w:sz w:val="22"/>
                <w:szCs w:val="22"/>
                <w:lang w:eastAsia="en-US"/>
              </w:rPr>
              <w:t xml:space="preserve">udżet państwa </w:t>
            </w:r>
            <w:r>
              <w:rPr>
                <w:rFonts w:eastAsia="Calibri" w:cs="Times New Roman"/>
                <w:sz w:val="22"/>
                <w:szCs w:val="22"/>
                <w:lang w:eastAsia="en-US"/>
              </w:rPr>
              <w:t xml:space="preserve">– urząd obsługujący ministra właściwego do spraw transportu (środki na dotację dla PAŻP na potrzeby </w:t>
            </w:r>
            <w:r w:rsidRPr="004547D4">
              <w:rPr>
                <w:rFonts w:eastAsia="Calibri" w:cs="Times New Roman"/>
                <w:sz w:val="22"/>
                <w:szCs w:val="22"/>
                <w:lang w:eastAsia="en-US"/>
              </w:rPr>
              <w:t>utrzymania</w:t>
            </w:r>
            <w:r>
              <w:rPr>
                <w:rFonts w:eastAsia="Calibri" w:cs="Times New Roman"/>
                <w:sz w:val="22"/>
                <w:szCs w:val="22"/>
                <w:lang w:eastAsia="en-US"/>
              </w:rPr>
              <w:t xml:space="preserve"> trwałości projektu „Usługi cyfrowe dla bezzałogowych statków powietrznych”)</w:t>
            </w:r>
          </w:p>
        </w:tc>
        <w:tc>
          <w:tcPr>
            <w:tcW w:w="567" w:type="dxa"/>
            <w:tcBorders>
              <w:top w:val="nil"/>
              <w:left w:val="single" w:sz="8" w:space="0" w:color="auto"/>
              <w:bottom w:val="single" w:sz="8" w:space="0" w:color="auto"/>
              <w:right w:val="single" w:sz="8" w:space="0" w:color="auto"/>
            </w:tcBorders>
            <w:shd w:val="clear" w:color="auto" w:fill="auto"/>
            <w:tcMar>
              <w:left w:w="0" w:type="dxa"/>
              <w:right w:w="0" w:type="dxa"/>
            </w:tcMar>
          </w:tcPr>
          <w:p w14:paraId="1FB46660" w14:textId="31F3B014" w:rsidR="007532AB" w:rsidRPr="008E60FC" w:rsidRDefault="007532AB" w:rsidP="007532AB">
            <w:pPr>
              <w:widowControl/>
              <w:autoSpaceDE/>
              <w:autoSpaceDN/>
              <w:adjustRightInd/>
              <w:spacing w:line="240" w:lineRule="auto"/>
              <w:jc w:val="center"/>
              <w:rPr>
                <w:rFonts w:cs="Times New Roman"/>
                <w:sz w:val="20"/>
              </w:rPr>
            </w:pPr>
            <w:r w:rsidRPr="008E60FC">
              <w:rPr>
                <w:sz w:val="20"/>
              </w:rPr>
              <w:t>0</w:t>
            </w:r>
          </w:p>
        </w:tc>
        <w:tc>
          <w:tcPr>
            <w:tcW w:w="567" w:type="dxa"/>
            <w:gridSpan w:val="2"/>
            <w:tcBorders>
              <w:top w:val="nil"/>
              <w:left w:val="nil"/>
              <w:bottom w:val="single" w:sz="8" w:space="0" w:color="auto"/>
              <w:right w:val="single" w:sz="8" w:space="0" w:color="auto"/>
            </w:tcBorders>
            <w:shd w:val="clear" w:color="auto" w:fill="auto"/>
            <w:tcMar>
              <w:left w:w="0" w:type="dxa"/>
              <w:right w:w="0" w:type="dxa"/>
            </w:tcMar>
          </w:tcPr>
          <w:p w14:paraId="66C83DAD" w14:textId="6CB6C881" w:rsidR="007532AB" w:rsidRPr="008E60FC" w:rsidRDefault="007532AB" w:rsidP="007532AB">
            <w:pPr>
              <w:widowControl/>
              <w:autoSpaceDE/>
              <w:autoSpaceDN/>
              <w:adjustRightInd/>
              <w:spacing w:line="240" w:lineRule="auto"/>
              <w:jc w:val="center"/>
              <w:rPr>
                <w:rFonts w:cs="Times New Roman"/>
                <w:sz w:val="20"/>
              </w:rPr>
            </w:pPr>
            <w:r w:rsidRPr="008E60FC">
              <w:rPr>
                <w:sz w:val="20"/>
              </w:rPr>
              <w:t>8,06</w:t>
            </w:r>
          </w:p>
        </w:tc>
        <w:tc>
          <w:tcPr>
            <w:tcW w:w="567" w:type="dxa"/>
            <w:tcBorders>
              <w:top w:val="nil"/>
              <w:left w:val="nil"/>
              <w:bottom w:val="single" w:sz="8" w:space="0" w:color="auto"/>
              <w:right w:val="single" w:sz="8" w:space="0" w:color="auto"/>
            </w:tcBorders>
            <w:shd w:val="clear" w:color="auto" w:fill="auto"/>
            <w:tcMar>
              <w:left w:w="0" w:type="dxa"/>
              <w:right w:w="0" w:type="dxa"/>
            </w:tcMar>
          </w:tcPr>
          <w:p w14:paraId="2AF2F6A8" w14:textId="3B36E384" w:rsidR="007532AB" w:rsidRPr="008E60FC" w:rsidRDefault="007532AB" w:rsidP="007532AB">
            <w:pPr>
              <w:widowControl/>
              <w:autoSpaceDE/>
              <w:autoSpaceDN/>
              <w:adjustRightInd/>
              <w:spacing w:line="240" w:lineRule="auto"/>
              <w:jc w:val="center"/>
              <w:rPr>
                <w:rFonts w:cs="Times New Roman"/>
                <w:sz w:val="20"/>
              </w:rPr>
            </w:pPr>
            <w:r w:rsidRPr="008E60FC">
              <w:rPr>
                <w:sz w:val="20"/>
              </w:rPr>
              <w:t>8,26</w:t>
            </w:r>
          </w:p>
        </w:tc>
        <w:tc>
          <w:tcPr>
            <w:tcW w:w="708" w:type="dxa"/>
            <w:gridSpan w:val="3"/>
            <w:tcBorders>
              <w:top w:val="nil"/>
              <w:left w:val="nil"/>
              <w:bottom w:val="single" w:sz="8" w:space="0" w:color="auto"/>
              <w:right w:val="single" w:sz="8" w:space="0" w:color="auto"/>
            </w:tcBorders>
            <w:shd w:val="clear" w:color="auto" w:fill="auto"/>
            <w:tcMar>
              <w:left w:w="0" w:type="dxa"/>
              <w:right w:w="0" w:type="dxa"/>
            </w:tcMar>
          </w:tcPr>
          <w:p w14:paraId="45ED5895" w14:textId="43C31319" w:rsidR="007532AB" w:rsidRPr="008E60FC" w:rsidRDefault="007532AB" w:rsidP="007532AB">
            <w:pPr>
              <w:widowControl/>
              <w:autoSpaceDE/>
              <w:autoSpaceDN/>
              <w:adjustRightInd/>
              <w:spacing w:line="240" w:lineRule="auto"/>
              <w:jc w:val="center"/>
              <w:rPr>
                <w:rFonts w:cs="Times New Roman"/>
                <w:sz w:val="20"/>
              </w:rPr>
            </w:pPr>
            <w:r w:rsidRPr="008E60FC">
              <w:rPr>
                <w:sz w:val="20"/>
              </w:rPr>
              <w:t>8,88</w:t>
            </w:r>
          </w:p>
        </w:tc>
        <w:tc>
          <w:tcPr>
            <w:tcW w:w="567" w:type="dxa"/>
            <w:gridSpan w:val="2"/>
            <w:tcBorders>
              <w:top w:val="nil"/>
              <w:left w:val="nil"/>
              <w:bottom w:val="single" w:sz="8" w:space="0" w:color="auto"/>
              <w:right w:val="single" w:sz="8" w:space="0" w:color="auto"/>
            </w:tcBorders>
            <w:shd w:val="clear" w:color="auto" w:fill="auto"/>
            <w:tcMar>
              <w:left w:w="0" w:type="dxa"/>
              <w:right w:w="0" w:type="dxa"/>
            </w:tcMar>
          </w:tcPr>
          <w:p w14:paraId="3D6C25E5" w14:textId="2DC07F40" w:rsidR="007532AB" w:rsidRPr="008E60FC" w:rsidRDefault="007532AB" w:rsidP="007532AB">
            <w:pPr>
              <w:widowControl/>
              <w:autoSpaceDE/>
              <w:autoSpaceDN/>
              <w:adjustRightInd/>
              <w:spacing w:line="240" w:lineRule="auto"/>
              <w:jc w:val="center"/>
              <w:rPr>
                <w:rFonts w:cs="Times New Roman"/>
                <w:sz w:val="20"/>
              </w:rPr>
            </w:pPr>
            <w:r w:rsidRPr="008E60FC">
              <w:rPr>
                <w:sz w:val="20"/>
              </w:rPr>
              <w:t>9,08</w:t>
            </w:r>
          </w:p>
        </w:tc>
        <w:tc>
          <w:tcPr>
            <w:tcW w:w="710" w:type="dxa"/>
            <w:tcBorders>
              <w:top w:val="nil"/>
              <w:left w:val="nil"/>
              <w:bottom w:val="single" w:sz="8" w:space="0" w:color="auto"/>
              <w:right w:val="single" w:sz="8" w:space="0" w:color="auto"/>
            </w:tcBorders>
            <w:shd w:val="clear" w:color="auto" w:fill="auto"/>
            <w:tcMar>
              <w:left w:w="0" w:type="dxa"/>
              <w:right w:w="0" w:type="dxa"/>
            </w:tcMar>
          </w:tcPr>
          <w:p w14:paraId="78F68CE4" w14:textId="4CDE7392" w:rsidR="007532AB" w:rsidRPr="008E60FC" w:rsidRDefault="007532AB" w:rsidP="007532AB">
            <w:pPr>
              <w:widowControl/>
              <w:autoSpaceDE/>
              <w:autoSpaceDN/>
              <w:adjustRightInd/>
              <w:spacing w:line="240" w:lineRule="auto"/>
              <w:jc w:val="center"/>
              <w:rPr>
                <w:rFonts w:cs="Times New Roman"/>
                <w:sz w:val="20"/>
              </w:rPr>
            </w:pPr>
            <w:r w:rsidRPr="008E60FC">
              <w:rPr>
                <w:sz w:val="20"/>
              </w:rPr>
              <w:t>9,00</w:t>
            </w:r>
          </w:p>
        </w:tc>
        <w:tc>
          <w:tcPr>
            <w:tcW w:w="566" w:type="dxa"/>
            <w:gridSpan w:val="2"/>
            <w:tcBorders>
              <w:top w:val="nil"/>
              <w:left w:val="nil"/>
              <w:bottom w:val="single" w:sz="8" w:space="0" w:color="auto"/>
              <w:right w:val="single" w:sz="8" w:space="0" w:color="auto"/>
            </w:tcBorders>
            <w:shd w:val="clear" w:color="auto" w:fill="auto"/>
            <w:tcMar>
              <w:left w:w="0" w:type="dxa"/>
              <w:right w:w="0" w:type="dxa"/>
            </w:tcMar>
          </w:tcPr>
          <w:p w14:paraId="25880AB4" w14:textId="0D048028" w:rsidR="007532AB" w:rsidRPr="008E60FC" w:rsidRDefault="007532AB" w:rsidP="007532AB">
            <w:pPr>
              <w:widowControl/>
              <w:autoSpaceDE/>
              <w:autoSpaceDN/>
              <w:adjustRightInd/>
              <w:spacing w:line="240" w:lineRule="auto"/>
              <w:jc w:val="center"/>
              <w:rPr>
                <w:rFonts w:cs="Times New Roman"/>
                <w:sz w:val="20"/>
              </w:rPr>
            </w:pPr>
            <w:r w:rsidRPr="008E60FC">
              <w:rPr>
                <w:sz w:val="20"/>
              </w:rPr>
              <w:t>0,0</w:t>
            </w:r>
          </w:p>
        </w:tc>
        <w:tc>
          <w:tcPr>
            <w:tcW w:w="573" w:type="dxa"/>
            <w:gridSpan w:val="4"/>
            <w:tcBorders>
              <w:top w:val="nil"/>
              <w:left w:val="nil"/>
              <w:bottom w:val="single" w:sz="8" w:space="0" w:color="auto"/>
              <w:right w:val="single" w:sz="8" w:space="0" w:color="auto"/>
            </w:tcBorders>
            <w:shd w:val="clear" w:color="auto" w:fill="auto"/>
            <w:tcMar>
              <w:left w:w="0" w:type="dxa"/>
              <w:right w:w="0" w:type="dxa"/>
            </w:tcMar>
          </w:tcPr>
          <w:p w14:paraId="6F0F693D" w14:textId="00B54964" w:rsidR="007532AB" w:rsidRPr="008E60FC" w:rsidRDefault="007532AB" w:rsidP="007532AB">
            <w:pPr>
              <w:widowControl/>
              <w:autoSpaceDE/>
              <w:autoSpaceDN/>
              <w:adjustRightInd/>
              <w:spacing w:line="240" w:lineRule="auto"/>
              <w:jc w:val="center"/>
              <w:rPr>
                <w:rFonts w:cs="Times New Roman"/>
                <w:sz w:val="20"/>
              </w:rPr>
            </w:pPr>
            <w:r w:rsidRPr="008E60FC">
              <w:rPr>
                <w:sz w:val="20"/>
              </w:rPr>
              <w:t>0,0</w:t>
            </w:r>
          </w:p>
        </w:tc>
        <w:tc>
          <w:tcPr>
            <w:tcW w:w="570" w:type="dxa"/>
            <w:tcBorders>
              <w:top w:val="nil"/>
              <w:left w:val="nil"/>
              <w:bottom w:val="single" w:sz="8" w:space="0" w:color="auto"/>
              <w:right w:val="single" w:sz="8" w:space="0" w:color="auto"/>
            </w:tcBorders>
            <w:shd w:val="clear" w:color="auto" w:fill="auto"/>
            <w:tcMar>
              <w:left w:w="0" w:type="dxa"/>
              <w:right w:w="0" w:type="dxa"/>
            </w:tcMar>
          </w:tcPr>
          <w:p w14:paraId="3D453ECC" w14:textId="45CD200C" w:rsidR="007532AB" w:rsidRPr="008E60FC" w:rsidRDefault="007532AB" w:rsidP="007532AB">
            <w:pPr>
              <w:widowControl/>
              <w:autoSpaceDE/>
              <w:autoSpaceDN/>
              <w:adjustRightInd/>
              <w:spacing w:line="240" w:lineRule="auto"/>
              <w:jc w:val="center"/>
              <w:rPr>
                <w:rFonts w:cs="Times New Roman"/>
                <w:sz w:val="20"/>
              </w:rPr>
            </w:pPr>
            <w:r w:rsidRPr="008E60FC">
              <w:rPr>
                <w:sz w:val="20"/>
              </w:rPr>
              <w:t>0,0</w:t>
            </w:r>
          </w:p>
        </w:tc>
        <w:tc>
          <w:tcPr>
            <w:tcW w:w="570" w:type="dxa"/>
            <w:gridSpan w:val="2"/>
            <w:tcBorders>
              <w:top w:val="nil"/>
              <w:left w:val="nil"/>
              <w:bottom w:val="single" w:sz="8" w:space="0" w:color="auto"/>
              <w:right w:val="single" w:sz="8" w:space="0" w:color="auto"/>
            </w:tcBorders>
            <w:shd w:val="clear" w:color="auto" w:fill="auto"/>
            <w:tcMar>
              <w:left w:w="0" w:type="dxa"/>
              <w:right w:w="0" w:type="dxa"/>
            </w:tcMar>
          </w:tcPr>
          <w:p w14:paraId="2486F8D8" w14:textId="69535854" w:rsidR="007532AB" w:rsidRPr="008E60FC" w:rsidRDefault="007532AB" w:rsidP="007532AB">
            <w:pPr>
              <w:widowControl/>
              <w:autoSpaceDE/>
              <w:autoSpaceDN/>
              <w:adjustRightInd/>
              <w:spacing w:line="240" w:lineRule="auto"/>
              <w:jc w:val="center"/>
              <w:rPr>
                <w:rFonts w:cs="Times New Roman"/>
                <w:sz w:val="20"/>
              </w:rPr>
            </w:pPr>
            <w:r w:rsidRPr="008E60FC">
              <w:rPr>
                <w:sz w:val="20"/>
              </w:rPr>
              <w:t>0,0</w:t>
            </w:r>
          </w:p>
        </w:tc>
        <w:tc>
          <w:tcPr>
            <w:tcW w:w="570" w:type="dxa"/>
            <w:tcBorders>
              <w:top w:val="nil"/>
              <w:left w:val="nil"/>
              <w:bottom w:val="single" w:sz="8" w:space="0" w:color="auto"/>
              <w:right w:val="single" w:sz="8" w:space="0" w:color="auto"/>
            </w:tcBorders>
            <w:shd w:val="clear" w:color="auto" w:fill="auto"/>
            <w:tcMar>
              <w:left w:w="0" w:type="dxa"/>
              <w:right w:w="0" w:type="dxa"/>
            </w:tcMar>
          </w:tcPr>
          <w:p w14:paraId="69053D0D" w14:textId="3D70905E" w:rsidR="007532AB" w:rsidRPr="008E60FC" w:rsidRDefault="007532AB" w:rsidP="007532AB">
            <w:pPr>
              <w:widowControl/>
              <w:autoSpaceDE/>
              <w:autoSpaceDN/>
              <w:adjustRightInd/>
              <w:spacing w:line="240" w:lineRule="auto"/>
              <w:jc w:val="center"/>
              <w:rPr>
                <w:rFonts w:cs="Times New Roman"/>
                <w:spacing w:val="-2"/>
                <w:sz w:val="20"/>
              </w:rPr>
            </w:pPr>
            <w:r w:rsidRPr="008E60FC">
              <w:rPr>
                <w:rFonts w:cs="Times New Roman"/>
                <w:color w:val="000000"/>
                <w:sz w:val="20"/>
              </w:rPr>
              <w:t>0,0</w:t>
            </w:r>
          </w:p>
        </w:tc>
        <w:tc>
          <w:tcPr>
            <w:tcW w:w="807" w:type="dxa"/>
            <w:gridSpan w:val="2"/>
            <w:tcBorders>
              <w:top w:val="nil"/>
              <w:left w:val="nil"/>
              <w:bottom w:val="single" w:sz="8" w:space="0" w:color="auto"/>
              <w:right w:val="single" w:sz="8" w:space="0" w:color="auto"/>
            </w:tcBorders>
            <w:shd w:val="clear" w:color="auto" w:fill="auto"/>
            <w:tcMar>
              <w:left w:w="0" w:type="dxa"/>
              <w:right w:w="0" w:type="dxa"/>
            </w:tcMar>
          </w:tcPr>
          <w:p w14:paraId="0903F99D" w14:textId="225F37AC" w:rsidR="007532AB" w:rsidRPr="008E60FC" w:rsidRDefault="007532AB" w:rsidP="007532AB">
            <w:pPr>
              <w:widowControl/>
              <w:autoSpaceDE/>
              <w:autoSpaceDN/>
              <w:adjustRightInd/>
              <w:spacing w:line="240" w:lineRule="auto"/>
              <w:jc w:val="center"/>
              <w:rPr>
                <w:rFonts w:cs="Times New Roman"/>
                <w:sz w:val="20"/>
              </w:rPr>
            </w:pPr>
            <w:r w:rsidRPr="008E60FC">
              <w:rPr>
                <w:sz w:val="20"/>
              </w:rPr>
              <w:t>43,28</w:t>
            </w:r>
          </w:p>
        </w:tc>
      </w:tr>
      <w:tr w:rsidR="007532AB" w:rsidRPr="004547D4" w14:paraId="2CB54644" w14:textId="77777777" w:rsidTr="0039465C">
        <w:trPr>
          <w:trHeight w:val="330"/>
        </w:trPr>
        <w:tc>
          <w:tcPr>
            <w:tcW w:w="2865" w:type="dxa"/>
            <w:gridSpan w:val="4"/>
            <w:shd w:val="clear" w:color="auto" w:fill="FFFFFF" w:themeFill="background1"/>
            <w:vAlign w:val="center"/>
          </w:tcPr>
          <w:p w14:paraId="1F860109" w14:textId="77777777" w:rsidR="007532AB" w:rsidRPr="00466BDC" w:rsidRDefault="007532AB" w:rsidP="007532AB">
            <w:pPr>
              <w:widowControl/>
              <w:autoSpaceDE/>
              <w:autoSpaceDN/>
              <w:adjustRightInd/>
              <w:spacing w:line="240" w:lineRule="auto"/>
              <w:rPr>
                <w:rFonts w:eastAsia="Calibri" w:cs="Times New Roman"/>
                <w:sz w:val="22"/>
                <w:szCs w:val="22"/>
                <w:lang w:eastAsia="en-US"/>
              </w:rPr>
            </w:pPr>
            <w:r w:rsidRPr="00466BDC">
              <w:rPr>
                <w:rFonts w:eastAsia="Calibri" w:cs="Times New Roman"/>
                <w:sz w:val="22"/>
                <w:szCs w:val="22"/>
                <w:lang w:eastAsia="en-US"/>
              </w:rPr>
              <w:t>budżet państwa (ULC – koszty)</w:t>
            </w:r>
          </w:p>
        </w:tc>
        <w:tc>
          <w:tcPr>
            <w:tcW w:w="567" w:type="dxa"/>
            <w:shd w:val="clear" w:color="auto" w:fill="FFFFFF" w:themeFill="background1"/>
            <w:tcMar>
              <w:left w:w="0" w:type="dxa"/>
              <w:right w:w="0" w:type="dxa"/>
            </w:tcMar>
            <w:vAlign w:val="center"/>
          </w:tcPr>
          <w:p w14:paraId="72E2726F" w14:textId="30FE939F"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cs="Times New Roman"/>
                <w:sz w:val="20"/>
              </w:rPr>
              <w:t>0,32</w:t>
            </w:r>
          </w:p>
        </w:tc>
        <w:tc>
          <w:tcPr>
            <w:tcW w:w="567" w:type="dxa"/>
            <w:gridSpan w:val="2"/>
            <w:shd w:val="clear" w:color="auto" w:fill="FFFFFF" w:themeFill="background1"/>
            <w:tcMar>
              <w:left w:w="0" w:type="dxa"/>
              <w:right w:w="0" w:type="dxa"/>
            </w:tcMar>
            <w:vAlign w:val="center"/>
          </w:tcPr>
          <w:p w14:paraId="744D070E" w14:textId="20DC4679"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cs="Times New Roman"/>
                <w:sz w:val="20"/>
              </w:rPr>
              <w:t>0,8</w:t>
            </w:r>
          </w:p>
        </w:tc>
        <w:tc>
          <w:tcPr>
            <w:tcW w:w="567" w:type="dxa"/>
            <w:shd w:val="clear" w:color="auto" w:fill="FFFFFF" w:themeFill="background1"/>
            <w:tcMar>
              <w:left w:w="0" w:type="dxa"/>
              <w:right w:w="0" w:type="dxa"/>
            </w:tcMar>
            <w:vAlign w:val="center"/>
          </w:tcPr>
          <w:p w14:paraId="4A14924E" w14:textId="14D7E912"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0,97</w:t>
            </w:r>
          </w:p>
        </w:tc>
        <w:tc>
          <w:tcPr>
            <w:tcW w:w="708" w:type="dxa"/>
            <w:gridSpan w:val="3"/>
            <w:shd w:val="clear" w:color="auto" w:fill="FFFFFF" w:themeFill="background1"/>
            <w:tcMar>
              <w:left w:w="0" w:type="dxa"/>
              <w:right w:w="0" w:type="dxa"/>
            </w:tcMar>
            <w:vAlign w:val="center"/>
          </w:tcPr>
          <w:p w14:paraId="123D9BAC" w14:textId="3D8861B4"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1,11</w:t>
            </w:r>
          </w:p>
        </w:tc>
        <w:tc>
          <w:tcPr>
            <w:tcW w:w="567" w:type="dxa"/>
            <w:gridSpan w:val="2"/>
            <w:shd w:val="clear" w:color="auto" w:fill="FFFFFF" w:themeFill="background1"/>
            <w:tcMar>
              <w:left w:w="0" w:type="dxa"/>
              <w:right w:w="0" w:type="dxa"/>
            </w:tcMar>
            <w:vAlign w:val="center"/>
          </w:tcPr>
          <w:p w14:paraId="6089C716" w14:textId="341916C0"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1,25</w:t>
            </w:r>
          </w:p>
        </w:tc>
        <w:tc>
          <w:tcPr>
            <w:tcW w:w="710" w:type="dxa"/>
            <w:shd w:val="clear" w:color="auto" w:fill="FFFFFF" w:themeFill="background1"/>
            <w:tcMar>
              <w:left w:w="0" w:type="dxa"/>
              <w:right w:w="0" w:type="dxa"/>
            </w:tcMar>
            <w:vAlign w:val="center"/>
          </w:tcPr>
          <w:p w14:paraId="20A77A46" w14:textId="418A8DDB"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1,39</w:t>
            </w:r>
          </w:p>
        </w:tc>
        <w:tc>
          <w:tcPr>
            <w:tcW w:w="566" w:type="dxa"/>
            <w:gridSpan w:val="2"/>
            <w:shd w:val="clear" w:color="auto" w:fill="FFFFFF" w:themeFill="background1"/>
            <w:tcMar>
              <w:left w:w="0" w:type="dxa"/>
              <w:right w:w="0" w:type="dxa"/>
            </w:tcMar>
            <w:vAlign w:val="center"/>
          </w:tcPr>
          <w:p w14:paraId="540A9CC1" w14:textId="7B70D6AF"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1,53</w:t>
            </w:r>
          </w:p>
        </w:tc>
        <w:tc>
          <w:tcPr>
            <w:tcW w:w="573" w:type="dxa"/>
            <w:gridSpan w:val="4"/>
            <w:shd w:val="clear" w:color="auto" w:fill="FFFFFF" w:themeFill="background1"/>
            <w:tcMar>
              <w:left w:w="0" w:type="dxa"/>
              <w:right w:w="0" w:type="dxa"/>
            </w:tcMar>
            <w:vAlign w:val="center"/>
          </w:tcPr>
          <w:p w14:paraId="362C8356" w14:textId="32E8E665"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1,67</w:t>
            </w:r>
          </w:p>
        </w:tc>
        <w:tc>
          <w:tcPr>
            <w:tcW w:w="570" w:type="dxa"/>
            <w:shd w:val="clear" w:color="auto" w:fill="FFFFFF" w:themeFill="background1"/>
            <w:tcMar>
              <w:left w:w="0" w:type="dxa"/>
              <w:right w:w="0" w:type="dxa"/>
            </w:tcMar>
            <w:vAlign w:val="center"/>
          </w:tcPr>
          <w:p w14:paraId="64B7514F" w14:textId="2BDB7D0B"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1,81</w:t>
            </w:r>
          </w:p>
        </w:tc>
        <w:tc>
          <w:tcPr>
            <w:tcW w:w="570" w:type="dxa"/>
            <w:gridSpan w:val="2"/>
            <w:shd w:val="clear" w:color="auto" w:fill="FFFFFF" w:themeFill="background1"/>
            <w:tcMar>
              <w:left w:w="0" w:type="dxa"/>
              <w:right w:w="0" w:type="dxa"/>
            </w:tcMar>
            <w:vAlign w:val="center"/>
          </w:tcPr>
          <w:p w14:paraId="67B72015" w14:textId="1E58EC5C"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1,95</w:t>
            </w:r>
          </w:p>
        </w:tc>
        <w:tc>
          <w:tcPr>
            <w:tcW w:w="570" w:type="dxa"/>
            <w:shd w:val="clear" w:color="auto" w:fill="FFFFFF" w:themeFill="background1"/>
            <w:tcMar>
              <w:left w:w="0" w:type="dxa"/>
              <w:right w:w="0" w:type="dxa"/>
            </w:tcMar>
            <w:vAlign w:val="center"/>
          </w:tcPr>
          <w:p w14:paraId="7756C468" w14:textId="7220CBC1"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2,09</w:t>
            </w:r>
          </w:p>
        </w:tc>
        <w:tc>
          <w:tcPr>
            <w:tcW w:w="807" w:type="dxa"/>
            <w:gridSpan w:val="2"/>
            <w:shd w:val="clear" w:color="auto" w:fill="FFFFFF" w:themeFill="background1"/>
            <w:tcMar>
              <w:left w:w="0" w:type="dxa"/>
              <w:right w:w="0" w:type="dxa"/>
            </w:tcMar>
            <w:vAlign w:val="center"/>
          </w:tcPr>
          <w:p w14:paraId="56B9B082" w14:textId="6F35B14F" w:rsidR="007532AB" w:rsidRPr="008E60FC" w:rsidRDefault="007532AB" w:rsidP="007532AB">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14,89</w:t>
            </w:r>
          </w:p>
        </w:tc>
      </w:tr>
      <w:tr w:rsidR="007532AB" w:rsidRPr="004547D4" w14:paraId="2DF873E1" w14:textId="77777777" w:rsidTr="0039465C">
        <w:trPr>
          <w:trHeight w:val="330"/>
        </w:trPr>
        <w:tc>
          <w:tcPr>
            <w:tcW w:w="2865" w:type="dxa"/>
            <w:gridSpan w:val="4"/>
            <w:shd w:val="clear" w:color="auto" w:fill="FFFFFF" w:themeFill="background1"/>
            <w:vAlign w:val="center"/>
          </w:tcPr>
          <w:p w14:paraId="2EC96425" w14:textId="779A83F4" w:rsidR="007532AB" w:rsidRPr="004547D4" w:rsidDel="001228C5"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 xml:space="preserve">JST (opłaty – strefy geograficzne </w:t>
            </w:r>
            <w:r>
              <w:rPr>
                <w:rFonts w:eastAsia="Calibri" w:cs="Times New Roman"/>
                <w:sz w:val="22"/>
                <w:szCs w:val="22"/>
                <w:lang w:eastAsia="en-US"/>
              </w:rPr>
              <w:t xml:space="preserve">dla </w:t>
            </w:r>
            <w:r w:rsidRPr="004547D4">
              <w:rPr>
                <w:rFonts w:eastAsia="Calibri" w:cs="Times New Roman"/>
                <w:sz w:val="22"/>
                <w:szCs w:val="22"/>
                <w:lang w:eastAsia="en-US"/>
              </w:rPr>
              <w:t>BSP)</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7F139982" w14:textId="79E009D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0,20</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DF507AA" w14:textId="65F6363D"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0,23</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C33CCEA" w14:textId="318BAA50"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0,26</w:t>
            </w:r>
          </w:p>
        </w:tc>
        <w:tc>
          <w:tcPr>
            <w:tcW w:w="708" w:type="dxa"/>
            <w:gridSpan w:val="3"/>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5A4903C6" w14:textId="561184F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0,30</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3E22A9CF" w14:textId="792709FD"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0,35</w:t>
            </w:r>
          </w:p>
        </w:tc>
        <w:tc>
          <w:tcPr>
            <w:tcW w:w="71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52D92CBC" w14:textId="69B71E54"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0,40</w:t>
            </w:r>
          </w:p>
        </w:tc>
        <w:tc>
          <w:tcPr>
            <w:tcW w:w="566"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70960D86" w14:textId="31135A4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0,46</w:t>
            </w:r>
          </w:p>
        </w:tc>
        <w:tc>
          <w:tcPr>
            <w:tcW w:w="573" w:type="dxa"/>
            <w:gridSpan w:val="4"/>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4791B6BB" w14:textId="4E7A2C0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0,53</w:t>
            </w:r>
          </w:p>
        </w:tc>
        <w:tc>
          <w:tcPr>
            <w:tcW w:w="57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3C1BF0E3" w14:textId="3FF70BA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0,61</w:t>
            </w:r>
          </w:p>
        </w:tc>
        <w:tc>
          <w:tcPr>
            <w:tcW w:w="570"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16F4FCD9" w14:textId="03864DED"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0,70</w:t>
            </w:r>
          </w:p>
        </w:tc>
        <w:tc>
          <w:tcPr>
            <w:tcW w:w="570" w:type="dxa"/>
            <w:tcBorders>
              <w:top w:val="single" w:sz="4" w:space="0" w:color="000000"/>
              <w:left w:val="single" w:sz="8" w:space="0" w:color="000000"/>
              <w:bottom w:val="single" w:sz="4" w:space="0" w:color="000000"/>
              <w:right w:val="single" w:sz="8" w:space="0" w:color="auto"/>
            </w:tcBorders>
            <w:shd w:val="clear" w:color="auto" w:fill="auto"/>
            <w:tcMar>
              <w:left w:w="0" w:type="dxa"/>
              <w:right w:w="0" w:type="dxa"/>
            </w:tcMar>
            <w:vAlign w:val="center"/>
          </w:tcPr>
          <w:p w14:paraId="4F94D624" w14:textId="52682B2E"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0,81</w:t>
            </w:r>
          </w:p>
        </w:tc>
        <w:tc>
          <w:tcPr>
            <w:tcW w:w="807" w:type="dxa"/>
            <w:gridSpan w:val="2"/>
            <w:shd w:val="clear" w:color="auto" w:fill="FFFFFF" w:themeFill="background1"/>
            <w:tcMar>
              <w:left w:w="0" w:type="dxa"/>
              <w:right w:w="0" w:type="dxa"/>
            </w:tcMar>
            <w:vAlign w:val="center"/>
          </w:tcPr>
          <w:p w14:paraId="1BE7FD98" w14:textId="4BAA914C"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4,85</w:t>
            </w:r>
          </w:p>
        </w:tc>
      </w:tr>
      <w:tr w:rsidR="007532AB" w:rsidRPr="004547D4" w14:paraId="3385C24A" w14:textId="77777777" w:rsidTr="0039465C">
        <w:trPr>
          <w:trHeight w:val="330"/>
        </w:trPr>
        <w:tc>
          <w:tcPr>
            <w:tcW w:w="2865" w:type="dxa"/>
            <w:gridSpan w:val="4"/>
            <w:shd w:val="clear" w:color="auto" w:fill="FFFFFF" w:themeFill="background1"/>
            <w:vAlign w:val="center"/>
          </w:tcPr>
          <w:p w14:paraId="7D748271" w14:textId="70B25679" w:rsidR="007532AB" w:rsidRPr="004547D4" w:rsidDel="001228C5"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pozostałe jednostki</w:t>
            </w:r>
            <w:r>
              <w:rPr>
                <w:rFonts w:eastAsia="Calibri" w:cs="Times New Roman"/>
                <w:sz w:val="22"/>
                <w:szCs w:val="22"/>
                <w:lang w:eastAsia="en-US"/>
              </w:rPr>
              <w:t xml:space="preserve"> - sektor finansów publicznych</w:t>
            </w:r>
            <w:r w:rsidRPr="004547D4">
              <w:rPr>
                <w:rFonts w:eastAsia="Calibri" w:cs="Times New Roman"/>
                <w:sz w:val="22"/>
                <w:szCs w:val="22"/>
                <w:lang w:eastAsia="en-US"/>
              </w:rPr>
              <w:t xml:space="preserve"> (opłaty – strefy geograficzne </w:t>
            </w:r>
            <w:r>
              <w:rPr>
                <w:rFonts w:eastAsia="Calibri" w:cs="Times New Roman"/>
                <w:sz w:val="22"/>
                <w:szCs w:val="22"/>
                <w:lang w:eastAsia="en-US"/>
              </w:rPr>
              <w:t xml:space="preserve">dla </w:t>
            </w:r>
            <w:r w:rsidRPr="004547D4">
              <w:rPr>
                <w:rFonts w:eastAsia="Calibri" w:cs="Times New Roman"/>
                <w:sz w:val="22"/>
                <w:szCs w:val="22"/>
                <w:lang w:eastAsia="en-US"/>
              </w:rPr>
              <w:t>BSP)</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79BD317E" w14:textId="0E5E6F2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0,28</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6A20A622" w14:textId="57DB77DF"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0,29</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1924DD5" w14:textId="199294A5"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0,31</w:t>
            </w:r>
          </w:p>
        </w:tc>
        <w:tc>
          <w:tcPr>
            <w:tcW w:w="708" w:type="dxa"/>
            <w:gridSpan w:val="3"/>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64C091EF" w14:textId="275D4C05"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0,32</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4AAB6873" w14:textId="413A19A2"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0,34</w:t>
            </w:r>
          </w:p>
        </w:tc>
        <w:tc>
          <w:tcPr>
            <w:tcW w:w="71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CD2D4ED" w14:textId="6CF63012"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0,35</w:t>
            </w:r>
          </w:p>
        </w:tc>
        <w:tc>
          <w:tcPr>
            <w:tcW w:w="566"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F3F5713" w14:textId="3B9F02AC"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0,37</w:t>
            </w:r>
          </w:p>
        </w:tc>
        <w:tc>
          <w:tcPr>
            <w:tcW w:w="573" w:type="dxa"/>
            <w:gridSpan w:val="4"/>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BFC389D" w14:textId="5E365C1F"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0,39</w:t>
            </w:r>
          </w:p>
        </w:tc>
        <w:tc>
          <w:tcPr>
            <w:tcW w:w="57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614A82B" w14:textId="6678F0B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0,41</w:t>
            </w:r>
          </w:p>
        </w:tc>
        <w:tc>
          <w:tcPr>
            <w:tcW w:w="570"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618437E3" w14:textId="48B7AC6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0,43</w:t>
            </w:r>
          </w:p>
        </w:tc>
        <w:tc>
          <w:tcPr>
            <w:tcW w:w="570" w:type="dxa"/>
            <w:tcBorders>
              <w:top w:val="single" w:sz="4" w:space="0" w:color="000000"/>
              <w:left w:val="single" w:sz="8" w:space="0" w:color="000000"/>
              <w:bottom w:val="single" w:sz="4" w:space="0" w:color="000000"/>
              <w:right w:val="single" w:sz="8" w:space="0" w:color="auto"/>
            </w:tcBorders>
            <w:shd w:val="clear" w:color="auto" w:fill="auto"/>
            <w:tcMar>
              <w:left w:w="0" w:type="dxa"/>
              <w:right w:w="0" w:type="dxa"/>
            </w:tcMar>
            <w:vAlign w:val="center"/>
          </w:tcPr>
          <w:p w14:paraId="2860D722" w14:textId="495E5C16"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0,45</w:t>
            </w:r>
          </w:p>
        </w:tc>
        <w:tc>
          <w:tcPr>
            <w:tcW w:w="807" w:type="dxa"/>
            <w:gridSpan w:val="2"/>
            <w:shd w:val="clear" w:color="auto" w:fill="FFFFFF" w:themeFill="background1"/>
            <w:tcMar>
              <w:left w:w="0" w:type="dxa"/>
              <w:right w:w="0" w:type="dxa"/>
            </w:tcMar>
            <w:vAlign w:val="center"/>
          </w:tcPr>
          <w:p w14:paraId="2629FAC3" w14:textId="34F73F05"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3,94</w:t>
            </w:r>
          </w:p>
        </w:tc>
      </w:tr>
      <w:tr w:rsidR="007532AB" w:rsidRPr="004547D4" w14:paraId="324C2B3E" w14:textId="77777777" w:rsidTr="0039465C">
        <w:trPr>
          <w:trHeight w:val="330"/>
        </w:trPr>
        <w:tc>
          <w:tcPr>
            <w:tcW w:w="2865" w:type="dxa"/>
            <w:gridSpan w:val="4"/>
            <w:shd w:val="clear" w:color="auto" w:fill="FFFFFF" w:themeFill="background1"/>
            <w:vAlign w:val="center"/>
          </w:tcPr>
          <w:p w14:paraId="41556CC7" w14:textId="7E21224B" w:rsidR="007532AB" w:rsidRPr="004547D4" w:rsidRDefault="007532AB" w:rsidP="007532A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pozostałe jednostki - </w:t>
            </w:r>
            <w:r w:rsidRPr="004547D4">
              <w:rPr>
                <w:rFonts w:eastAsia="Calibri" w:cs="Times New Roman"/>
                <w:sz w:val="22"/>
                <w:szCs w:val="22"/>
                <w:lang w:eastAsia="en-US"/>
              </w:rPr>
              <w:t xml:space="preserve">PAŻP </w:t>
            </w:r>
            <w:r>
              <w:rPr>
                <w:rFonts w:eastAsia="Calibri" w:cs="Times New Roman"/>
                <w:sz w:val="22"/>
                <w:szCs w:val="22"/>
                <w:lang w:eastAsia="en-US"/>
              </w:rPr>
              <w:t>(</w:t>
            </w:r>
            <w:r w:rsidRPr="004547D4">
              <w:rPr>
                <w:rFonts w:eastAsia="Calibri" w:cs="Times New Roman"/>
                <w:sz w:val="22"/>
                <w:szCs w:val="22"/>
                <w:lang w:eastAsia="en-US"/>
              </w:rPr>
              <w:t>koszty związane z wyznaczaniem stref geograficznych dla BSP</w:t>
            </w:r>
            <w:r>
              <w:rPr>
                <w:rFonts w:eastAsia="Calibri" w:cs="Times New Roman"/>
                <w:sz w:val="22"/>
                <w:szCs w:val="22"/>
                <w:lang w:eastAsia="en-US"/>
              </w:rPr>
              <w:t xml:space="preserve"> w tym):</w:t>
            </w:r>
          </w:p>
        </w:tc>
        <w:tc>
          <w:tcPr>
            <w:tcW w:w="567"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053AF27A" w14:textId="36EE604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0,88</w:t>
            </w:r>
          </w:p>
        </w:tc>
        <w:tc>
          <w:tcPr>
            <w:tcW w:w="567"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4174E02D" w14:textId="71F0E49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0,98</w:t>
            </w:r>
          </w:p>
        </w:tc>
        <w:tc>
          <w:tcPr>
            <w:tcW w:w="567"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3BC8FE7B" w14:textId="417DD89C"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1,10</w:t>
            </w:r>
          </w:p>
        </w:tc>
        <w:tc>
          <w:tcPr>
            <w:tcW w:w="708" w:type="dxa"/>
            <w:gridSpan w:val="3"/>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28D7903F" w14:textId="13EBA03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1,22</w:t>
            </w:r>
          </w:p>
        </w:tc>
        <w:tc>
          <w:tcPr>
            <w:tcW w:w="567"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70C59960" w14:textId="516EBCD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1,39</w:t>
            </w:r>
          </w:p>
        </w:tc>
        <w:tc>
          <w:tcPr>
            <w:tcW w:w="710"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6799E591" w14:textId="204E7F69"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1,55</w:t>
            </w:r>
          </w:p>
        </w:tc>
        <w:tc>
          <w:tcPr>
            <w:tcW w:w="566"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1608E8E2" w14:textId="7E7A9EAE"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1,76</w:t>
            </w:r>
          </w:p>
        </w:tc>
        <w:tc>
          <w:tcPr>
            <w:tcW w:w="573" w:type="dxa"/>
            <w:gridSpan w:val="4"/>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6EDAED95" w14:textId="41267A9D"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1,98</w:t>
            </w:r>
          </w:p>
        </w:tc>
        <w:tc>
          <w:tcPr>
            <w:tcW w:w="570" w:type="dxa"/>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5FD951E8" w14:textId="7C3AA72F"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2,24</w:t>
            </w:r>
          </w:p>
        </w:tc>
        <w:tc>
          <w:tcPr>
            <w:tcW w:w="570" w:type="dxa"/>
            <w:gridSpan w:val="2"/>
            <w:tcBorders>
              <w:top w:val="single" w:sz="4" w:space="0" w:color="000000"/>
              <w:left w:val="single" w:sz="8" w:space="0" w:color="000000"/>
              <w:bottom w:val="single" w:sz="8" w:space="0" w:color="auto"/>
              <w:right w:val="single" w:sz="4" w:space="0" w:color="000000"/>
            </w:tcBorders>
            <w:shd w:val="clear" w:color="auto" w:fill="auto"/>
            <w:tcMar>
              <w:left w:w="0" w:type="dxa"/>
              <w:right w:w="0" w:type="dxa"/>
            </w:tcMar>
            <w:vAlign w:val="center"/>
          </w:tcPr>
          <w:p w14:paraId="2F2816F6" w14:textId="712CA13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2,53</w:t>
            </w:r>
          </w:p>
        </w:tc>
        <w:tc>
          <w:tcPr>
            <w:tcW w:w="570" w:type="dxa"/>
            <w:tcBorders>
              <w:top w:val="single" w:sz="4" w:space="0" w:color="000000"/>
              <w:left w:val="single" w:sz="8" w:space="0" w:color="000000"/>
              <w:bottom w:val="single" w:sz="8" w:space="0" w:color="auto"/>
              <w:right w:val="single" w:sz="8" w:space="0" w:color="auto"/>
            </w:tcBorders>
            <w:shd w:val="clear" w:color="auto" w:fill="auto"/>
            <w:tcMar>
              <w:left w:w="0" w:type="dxa"/>
              <w:right w:w="0" w:type="dxa"/>
            </w:tcMar>
            <w:vAlign w:val="center"/>
          </w:tcPr>
          <w:p w14:paraId="3005A180" w14:textId="5831D7F4"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2,88</w:t>
            </w:r>
          </w:p>
        </w:tc>
        <w:tc>
          <w:tcPr>
            <w:tcW w:w="807" w:type="dxa"/>
            <w:gridSpan w:val="2"/>
            <w:tcBorders>
              <w:bottom w:val="single" w:sz="4" w:space="0" w:color="auto"/>
            </w:tcBorders>
            <w:shd w:val="clear" w:color="auto" w:fill="FFFFFF" w:themeFill="background1"/>
            <w:tcMar>
              <w:left w:w="0" w:type="dxa"/>
              <w:right w:w="0" w:type="dxa"/>
            </w:tcMar>
            <w:vAlign w:val="center"/>
          </w:tcPr>
          <w:p w14:paraId="631185F0" w14:textId="48C4EDA9"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18,51</w:t>
            </w:r>
          </w:p>
        </w:tc>
      </w:tr>
      <w:tr w:rsidR="007532AB" w:rsidRPr="004547D4" w14:paraId="2BE9328B" w14:textId="77777777" w:rsidTr="0039465C">
        <w:trPr>
          <w:trHeight w:val="330"/>
        </w:trPr>
        <w:tc>
          <w:tcPr>
            <w:tcW w:w="2865" w:type="dxa"/>
            <w:gridSpan w:val="4"/>
            <w:shd w:val="clear" w:color="auto" w:fill="FFFFFF" w:themeFill="background1"/>
            <w:vAlign w:val="center"/>
          </w:tcPr>
          <w:p w14:paraId="2A83BCF4" w14:textId="29E02F70" w:rsidR="007532AB" w:rsidRDefault="007532AB" w:rsidP="007532A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1. koszty utworzenia i utrzymania modułu systemu informatycznego dot. stref geograficznych dla BSP</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AF4A1F4" w14:textId="4C16319C"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0,34</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5F5C1CB" w14:textId="0A79FF46"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0,38</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0184C68" w14:textId="0542CC7E"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0,43</w:t>
            </w:r>
          </w:p>
        </w:tc>
        <w:tc>
          <w:tcPr>
            <w:tcW w:w="708" w:type="dxa"/>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F380C72" w14:textId="6EABA9C1"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0,48</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4424304" w14:textId="4A9C42DB"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0,53</w:t>
            </w:r>
          </w:p>
        </w:tc>
        <w:tc>
          <w:tcPr>
            <w:tcW w:w="7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D119C83" w14:textId="67BD9B35"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0,6</w:t>
            </w:r>
          </w:p>
        </w:tc>
        <w:tc>
          <w:tcPr>
            <w:tcW w:w="566"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7AE1FF0" w14:textId="6FF81D50"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0,67</w:t>
            </w:r>
          </w:p>
        </w:tc>
        <w:tc>
          <w:tcPr>
            <w:tcW w:w="573"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E0C0591" w14:textId="1C8976D5"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0,76</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E3E5B2D" w14:textId="60A08B17"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0,86</w:t>
            </w:r>
          </w:p>
        </w:tc>
        <w:tc>
          <w:tcPr>
            <w:tcW w:w="570"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93C9C79" w14:textId="0A04D6AA"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0,97</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54BA09B" w14:textId="76ABDB0C"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1,09</w:t>
            </w:r>
          </w:p>
        </w:tc>
        <w:tc>
          <w:tcPr>
            <w:tcW w:w="807" w:type="dxa"/>
            <w:gridSpan w:val="2"/>
            <w:tcBorders>
              <w:bottom w:val="single" w:sz="4" w:space="0" w:color="auto"/>
            </w:tcBorders>
            <w:shd w:val="clear" w:color="auto" w:fill="FFFFFF" w:themeFill="background1"/>
            <w:tcMar>
              <w:left w:w="0" w:type="dxa"/>
              <w:right w:w="0" w:type="dxa"/>
            </w:tcMar>
            <w:vAlign w:val="center"/>
          </w:tcPr>
          <w:p w14:paraId="415D1B32" w14:textId="27DF99A9" w:rsidR="007532AB" w:rsidRPr="008E60FC" w:rsidRDefault="007532AB" w:rsidP="007532AB">
            <w:pPr>
              <w:widowControl/>
              <w:autoSpaceDE/>
              <w:autoSpaceDN/>
              <w:adjustRightInd/>
              <w:spacing w:line="240" w:lineRule="auto"/>
              <w:jc w:val="center"/>
              <w:rPr>
                <w:rFonts w:eastAsia="Calibri" w:cs="Times New Roman"/>
                <w:spacing w:val="-2"/>
                <w:sz w:val="20"/>
                <w:lang w:eastAsia="en-US"/>
              </w:rPr>
            </w:pPr>
            <w:r w:rsidRPr="008E60FC">
              <w:rPr>
                <w:rFonts w:eastAsia="Calibri" w:cs="Times New Roman"/>
                <w:spacing w:val="-2"/>
                <w:sz w:val="20"/>
                <w:lang w:eastAsia="en-US"/>
              </w:rPr>
              <w:t>7,11</w:t>
            </w:r>
          </w:p>
        </w:tc>
      </w:tr>
      <w:tr w:rsidR="007532AB" w:rsidRPr="004547D4" w14:paraId="6314EBC3" w14:textId="77777777" w:rsidTr="0039465C">
        <w:trPr>
          <w:trHeight w:val="330"/>
        </w:trPr>
        <w:tc>
          <w:tcPr>
            <w:tcW w:w="2865" w:type="dxa"/>
            <w:gridSpan w:val="4"/>
            <w:shd w:val="clear" w:color="auto" w:fill="FFFFFF" w:themeFill="background1"/>
            <w:vAlign w:val="center"/>
          </w:tcPr>
          <w:p w14:paraId="23D2376F" w14:textId="6C860006" w:rsidR="007532AB" w:rsidRDefault="007532AB" w:rsidP="007532A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2. pozostałe koszty, w tym koszty osobowe</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2A55DC3" w14:textId="52008670"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0,54</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D0AE3C6" w14:textId="79324955"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0,6</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5D0E5EB" w14:textId="19342922"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0,67</w:t>
            </w:r>
          </w:p>
        </w:tc>
        <w:tc>
          <w:tcPr>
            <w:tcW w:w="708" w:type="dxa"/>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A112AB0" w14:textId="011ABC85"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0,74</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F9F4BE6" w14:textId="79BEF282"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0,86</w:t>
            </w:r>
          </w:p>
        </w:tc>
        <w:tc>
          <w:tcPr>
            <w:tcW w:w="7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D2F859B" w14:textId="2D6A6E46"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0,95</w:t>
            </w:r>
          </w:p>
        </w:tc>
        <w:tc>
          <w:tcPr>
            <w:tcW w:w="566"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32556FD" w14:textId="67153AFC"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1,09</w:t>
            </w:r>
          </w:p>
        </w:tc>
        <w:tc>
          <w:tcPr>
            <w:tcW w:w="573"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A86ECEC" w14:textId="3484C14B"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1,22</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53BD860" w14:textId="63F83BBA"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1,38</w:t>
            </w:r>
          </w:p>
        </w:tc>
        <w:tc>
          <w:tcPr>
            <w:tcW w:w="570"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3E8AF06" w14:textId="45183479"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1,56</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08F2BFB" w14:textId="4CA1E0FF" w:rsidR="007532AB" w:rsidRPr="008E60FC" w:rsidRDefault="007532AB" w:rsidP="007532AB">
            <w:pPr>
              <w:widowControl/>
              <w:autoSpaceDE/>
              <w:autoSpaceDN/>
              <w:adjustRightInd/>
              <w:spacing w:line="240" w:lineRule="auto"/>
              <w:jc w:val="center"/>
              <w:rPr>
                <w:rFonts w:cs="Times New Roman"/>
                <w:color w:val="000000"/>
                <w:sz w:val="20"/>
              </w:rPr>
            </w:pPr>
            <w:r w:rsidRPr="008E60FC">
              <w:rPr>
                <w:rFonts w:cs="Times New Roman"/>
                <w:color w:val="000000"/>
                <w:sz w:val="20"/>
              </w:rPr>
              <w:t>1,79</w:t>
            </w:r>
          </w:p>
        </w:tc>
        <w:tc>
          <w:tcPr>
            <w:tcW w:w="807" w:type="dxa"/>
            <w:gridSpan w:val="2"/>
            <w:tcBorders>
              <w:bottom w:val="single" w:sz="4" w:space="0" w:color="auto"/>
            </w:tcBorders>
            <w:shd w:val="clear" w:color="auto" w:fill="FFFFFF" w:themeFill="background1"/>
            <w:tcMar>
              <w:left w:w="0" w:type="dxa"/>
              <w:right w:w="0" w:type="dxa"/>
            </w:tcMar>
            <w:vAlign w:val="center"/>
          </w:tcPr>
          <w:p w14:paraId="7F971BDD" w14:textId="794164B5" w:rsidR="007532AB" w:rsidRPr="008E60FC" w:rsidRDefault="007532AB" w:rsidP="007532AB">
            <w:pPr>
              <w:widowControl/>
              <w:autoSpaceDE/>
              <w:autoSpaceDN/>
              <w:adjustRightInd/>
              <w:spacing w:line="240" w:lineRule="auto"/>
              <w:jc w:val="center"/>
              <w:rPr>
                <w:rFonts w:eastAsia="Calibri" w:cs="Times New Roman"/>
                <w:spacing w:val="-2"/>
                <w:sz w:val="20"/>
                <w:lang w:eastAsia="en-US"/>
              </w:rPr>
            </w:pPr>
            <w:r w:rsidRPr="008E60FC">
              <w:rPr>
                <w:rFonts w:eastAsia="Calibri" w:cs="Times New Roman"/>
                <w:spacing w:val="-2"/>
                <w:sz w:val="20"/>
                <w:lang w:eastAsia="en-US"/>
              </w:rPr>
              <w:t>11,4</w:t>
            </w:r>
          </w:p>
        </w:tc>
      </w:tr>
      <w:tr w:rsidR="007532AB" w:rsidRPr="004547D4" w14:paraId="23C8A065" w14:textId="77777777" w:rsidTr="0039465C">
        <w:trPr>
          <w:trHeight w:val="360"/>
        </w:trPr>
        <w:tc>
          <w:tcPr>
            <w:tcW w:w="2865" w:type="dxa"/>
            <w:gridSpan w:val="4"/>
            <w:tcBorders>
              <w:top w:val="single" w:sz="4" w:space="0" w:color="auto"/>
            </w:tcBorders>
            <w:shd w:val="clear" w:color="auto" w:fill="auto"/>
            <w:vAlign w:val="center"/>
          </w:tcPr>
          <w:p w14:paraId="10AE03AD"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b/>
                <w:sz w:val="22"/>
                <w:szCs w:val="22"/>
                <w:lang w:eastAsia="en-US"/>
              </w:rPr>
              <w:t>Saldo ogółem</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7ECFB898" w14:textId="772F28EC"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0,30</w:t>
            </w:r>
          </w:p>
        </w:tc>
        <w:tc>
          <w:tcPr>
            <w:tcW w:w="567" w:type="dxa"/>
            <w:gridSpan w:val="2"/>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01E99AA1" w14:textId="33F8F7B9"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-8,71</w:t>
            </w:r>
          </w:p>
        </w:tc>
        <w:tc>
          <w:tcPr>
            <w:tcW w:w="567" w:type="dxa"/>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79DDCC41" w14:textId="0CEDE46F"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-9,1</w:t>
            </w:r>
          </w:p>
        </w:tc>
        <w:tc>
          <w:tcPr>
            <w:tcW w:w="708" w:type="dxa"/>
            <w:gridSpan w:val="3"/>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4CF1DB8A" w14:textId="6ACFD4FD"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-9,8</w:t>
            </w:r>
          </w:p>
        </w:tc>
        <w:tc>
          <w:tcPr>
            <w:tcW w:w="567" w:type="dxa"/>
            <w:gridSpan w:val="2"/>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75802CB3" w14:textId="16862D08"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-10,08</w:t>
            </w:r>
          </w:p>
        </w:tc>
        <w:tc>
          <w:tcPr>
            <w:tcW w:w="710" w:type="dxa"/>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513FBAA0" w14:textId="5985D032"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-10,05</w:t>
            </w:r>
          </w:p>
        </w:tc>
        <w:tc>
          <w:tcPr>
            <w:tcW w:w="566" w:type="dxa"/>
            <w:gridSpan w:val="2"/>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14E75FAC" w14:textId="60923637"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-1,07</w:t>
            </w:r>
          </w:p>
        </w:tc>
        <w:tc>
          <w:tcPr>
            <w:tcW w:w="573" w:type="dxa"/>
            <w:gridSpan w:val="4"/>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0B4E1145" w14:textId="3504F8D3"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-1,07</w:t>
            </w:r>
          </w:p>
        </w:tc>
        <w:tc>
          <w:tcPr>
            <w:tcW w:w="570" w:type="dxa"/>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4CF937FE" w14:textId="17F506A6"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-1,02</w:t>
            </w:r>
          </w:p>
        </w:tc>
        <w:tc>
          <w:tcPr>
            <w:tcW w:w="570" w:type="dxa"/>
            <w:gridSpan w:val="2"/>
            <w:tcBorders>
              <w:top w:val="single" w:sz="4" w:space="0" w:color="000000"/>
              <w:left w:val="nil"/>
              <w:bottom w:val="single" w:sz="4" w:space="0" w:color="000000"/>
              <w:right w:val="single" w:sz="4" w:space="0" w:color="000000"/>
            </w:tcBorders>
            <w:shd w:val="clear" w:color="auto" w:fill="auto"/>
            <w:tcMar>
              <w:left w:w="0" w:type="dxa"/>
              <w:right w:w="0" w:type="dxa"/>
            </w:tcMar>
            <w:vAlign w:val="center"/>
          </w:tcPr>
          <w:p w14:paraId="0FE5E065" w14:textId="667A5462"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-0,91</w:t>
            </w:r>
          </w:p>
        </w:tc>
        <w:tc>
          <w:tcPr>
            <w:tcW w:w="570" w:type="dxa"/>
            <w:tcBorders>
              <w:top w:val="single" w:sz="4" w:space="0" w:color="000000"/>
              <w:left w:val="nil"/>
              <w:bottom w:val="single" w:sz="4" w:space="0" w:color="000000"/>
              <w:right w:val="single" w:sz="8" w:space="0" w:color="000000"/>
            </w:tcBorders>
            <w:shd w:val="clear" w:color="auto" w:fill="auto"/>
            <w:tcMar>
              <w:left w:w="0" w:type="dxa"/>
              <w:right w:w="0" w:type="dxa"/>
            </w:tcMar>
            <w:vAlign w:val="center"/>
          </w:tcPr>
          <w:p w14:paraId="00DE435C" w14:textId="7BF6AB2C"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-0,74</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69CACA88" w14:textId="37C8DE49" w:rsidR="007532AB" w:rsidRPr="008E60FC" w:rsidRDefault="007532AB" w:rsidP="007532AB">
            <w:pPr>
              <w:widowControl/>
              <w:autoSpaceDE/>
              <w:autoSpaceDN/>
              <w:adjustRightInd/>
              <w:spacing w:line="240" w:lineRule="auto"/>
              <w:jc w:val="center"/>
              <w:rPr>
                <w:rFonts w:cs="Times New Roman"/>
                <w:b/>
                <w:sz w:val="20"/>
              </w:rPr>
            </w:pPr>
            <w:r>
              <w:rPr>
                <w:rFonts w:cs="Times New Roman"/>
                <w:b/>
                <w:sz w:val="20"/>
              </w:rPr>
              <w:t>-52,25</w:t>
            </w:r>
          </w:p>
        </w:tc>
      </w:tr>
      <w:tr w:rsidR="007532AB" w:rsidRPr="004547D4" w14:paraId="0E77B0B7" w14:textId="77777777" w:rsidTr="0039465C">
        <w:trPr>
          <w:trHeight w:val="360"/>
        </w:trPr>
        <w:tc>
          <w:tcPr>
            <w:tcW w:w="2865" w:type="dxa"/>
            <w:gridSpan w:val="4"/>
            <w:shd w:val="clear" w:color="auto" w:fill="auto"/>
            <w:vAlign w:val="center"/>
          </w:tcPr>
          <w:p w14:paraId="62BE1197" w14:textId="20A23562"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budżet państwa</w:t>
            </w:r>
            <w:r>
              <w:rPr>
                <w:rFonts w:eastAsia="Calibri" w:cs="Times New Roman"/>
                <w:sz w:val="22"/>
                <w:szCs w:val="22"/>
                <w:lang w:eastAsia="en-US"/>
              </w:rPr>
              <w:t xml:space="preserve"> (ULC + urząd obsługujący ministra właściwego do spraw transportu)</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0B5B1F6" w14:textId="1445D39D"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0,78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578F79E" w14:textId="0EF3E927"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-8,19</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CC04CA7" w14:textId="3E4446D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-8,53</w:t>
            </w: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08497DDC" w14:textId="5C5DD555"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-9,18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066E1693" w14:textId="16CDFF10"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-9,39</w:t>
            </w:r>
          </w:p>
        </w:tc>
        <w:tc>
          <w:tcPr>
            <w:tcW w:w="71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864BAFA" w14:textId="1CD042C2"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-9,3</w:t>
            </w:r>
            <w:r>
              <w:rPr>
                <w:rFonts w:cs="Times New Roman"/>
                <w:sz w:val="20"/>
              </w:rPr>
              <w:t>0</w:t>
            </w:r>
          </w:p>
        </w:tc>
        <w:tc>
          <w:tcPr>
            <w:tcW w:w="566"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B65DDCA" w14:textId="03AE2EE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-0,24</w:t>
            </w:r>
          </w:p>
        </w:tc>
        <w:tc>
          <w:tcPr>
            <w:tcW w:w="573"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6DFA6778" w14:textId="4C4915D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-0,15</w:t>
            </w:r>
          </w:p>
        </w:tc>
        <w:tc>
          <w:tcPr>
            <w:tcW w:w="57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3A6065AC" w14:textId="2AD72050"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F2953B9" w14:textId="19FF5CAE"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0,22</w:t>
            </w:r>
          </w:p>
        </w:tc>
        <w:tc>
          <w:tcPr>
            <w:tcW w:w="57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0F7DAAB0" w14:textId="74933ADA"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0,52</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6309EA8B" w14:textId="6EAB6DA0"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-43,46</w:t>
            </w:r>
          </w:p>
        </w:tc>
      </w:tr>
      <w:tr w:rsidR="007532AB" w:rsidRPr="004547D4" w14:paraId="7E29357F" w14:textId="77777777" w:rsidTr="0039465C">
        <w:trPr>
          <w:trHeight w:val="357"/>
        </w:trPr>
        <w:tc>
          <w:tcPr>
            <w:tcW w:w="2865" w:type="dxa"/>
            <w:gridSpan w:val="4"/>
            <w:shd w:val="clear" w:color="auto" w:fill="FFFFFF" w:themeFill="background1"/>
            <w:vAlign w:val="center"/>
          </w:tcPr>
          <w:p w14:paraId="75B316BE" w14:textId="3354BB0C" w:rsidR="007532AB" w:rsidDel="001228C5"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JST</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727C7BB8" w14:textId="3F1E5F3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-0,20</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CA3360F" w14:textId="0B37BF0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-0,23</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C5DACCD" w14:textId="74A79D7E"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-0,26</w:t>
            </w:r>
          </w:p>
        </w:tc>
        <w:tc>
          <w:tcPr>
            <w:tcW w:w="708" w:type="dxa"/>
            <w:gridSpan w:val="3"/>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0BAF5AA" w14:textId="5D51EEF2"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-0,30</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1F6F2F49" w14:textId="2B48A3A4"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-0,35</w:t>
            </w:r>
          </w:p>
        </w:tc>
        <w:tc>
          <w:tcPr>
            <w:tcW w:w="71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775C3AA" w14:textId="1CBA895F"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-0,40</w:t>
            </w:r>
          </w:p>
        </w:tc>
        <w:tc>
          <w:tcPr>
            <w:tcW w:w="566"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4BDFFBF4" w14:textId="3B34BD3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-0,46</w:t>
            </w:r>
          </w:p>
        </w:tc>
        <w:tc>
          <w:tcPr>
            <w:tcW w:w="573" w:type="dxa"/>
            <w:gridSpan w:val="4"/>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6AD1A1C2" w14:textId="714C515A"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-0,53</w:t>
            </w:r>
          </w:p>
        </w:tc>
        <w:tc>
          <w:tcPr>
            <w:tcW w:w="57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7377708" w14:textId="17D9F07E"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-0,61</w:t>
            </w:r>
          </w:p>
        </w:tc>
        <w:tc>
          <w:tcPr>
            <w:tcW w:w="570"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75DE2294" w14:textId="1EEBE2EC"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-0,70</w:t>
            </w:r>
          </w:p>
        </w:tc>
        <w:tc>
          <w:tcPr>
            <w:tcW w:w="570" w:type="dxa"/>
            <w:tcBorders>
              <w:top w:val="single" w:sz="4" w:space="0" w:color="000000"/>
              <w:left w:val="single" w:sz="8" w:space="0" w:color="000000"/>
              <w:bottom w:val="single" w:sz="4" w:space="0" w:color="000000"/>
              <w:right w:val="single" w:sz="8" w:space="0" w:color="auto"/>
            </w:tcBorders>
            <w:shd w:val="clear" w:color="auto" w:fill="auto"/>
            <w:tcMar>
              <w:left w:w="0" w:type="dxa"/>
              <w:right w:w="0" w:type="dxa"/>
            </w:tcMar>
            <w:vAlign w:val="center"/>
          </w:tcPr>
          <w:p w14:paraId="65E17C34" w14:textId="5A6D46B5"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-0,81</w:t>
            </w:r>
          </w:p>
        </w:tc>
        <w:tc>
          <w:tcPr>
            <w:tcW w:w="807" w:type="dxa"/>
            <w:gridSpan w:val="2"/>
            <w:tcBorders>
              <w:top w:val="single" w:sz="4" w:space="0" w:color="auto"/>
            </w:tcBorders>
            <w:shd w:val="clear" w:color="auto" w:fill="FFFFFF" w:themeFill="background1"/>
            <w:tcMar>
              <w:left w:w="0" w:type="dxa"/>
              <w:right w:w="0" w:type="dxa"/>
            </w:tcMar>
            <w:vAlign w:val="center"/>
          </w:tcPr>
          <w:p w14:paraId="1666BB39" w14:textId="6CF62806"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-4,85</w:t>
            </w:r>
          </w:p>
        </w:tc>
      </w:tr>
      <w:tr w:rsidR="007532AB" w:rsidRPr="004547D4" w14:paraId="1CC8420B" w14:textId="77777777" w:rsidTr="0039465C">
        <w:trPr>
          <w:trHeight w:val="357"/>
        </w:trPr>
        <w:tc>
          <w:tcPr>
            <w:tcW w:w="2865" w:type="dxa"/>
            <w:gridSpan w:val="4"/>
            <w:shd w:val="clear" w:color="auto" w:fill="FFFFFF" w:themeFill="background1"/>
            <w:vAlign w:val="center"/>
          </w:tcPr>
          <w:p w14:paraId="539DA177" w14:textId="5428CF26" w:rsidR="007532AB" w:rsidDel="001228C5" w:rsidRDefault="007532AB" w:rsidP="007532A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pozostałe jednostki –</w:t>
            </w:r>
            <w:r w:rsidRPr="004547D4">
              <w:rPr>
                <w:rFonts w:eastAsia="Calibri" w:cs="Times New Roman"/>
                <w:sz w:val="22"/>
                <w:szCs w:val="22"/>
                <w:lang w:eastAsia="en-US"/>
              </w:rPr>
              <w:t xml:space="preserve"> </w:t>
            </w:r>
            <w:r>
              <w:rPr>
                <w:rFonts w:eastAsia="Calibri" w:cs="Times New Roman"/>
                <w:sz w:val="22"/>
                <w:szCs w:val="22"/>
                <w:lang w:eastAsia="en-US"/>
              </w:rPr>
              <w:t xml:space="preserve">sektor finansów publicznych </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614839C8" w14:textId="091EFFB4"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-0,28</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ADD888C" w14:textId="05446526"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-0,29</w:t>
            </w:r>
          </w:p>
        </w:tc>
        <w:tc>
          <w:tcPr>
            <w:tcW w:w="567"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FCC2300" w14:textId="2BE9249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-0,31</w:t>
            </w:r>
          </w:p>
        </w:tc>
        <w:tc>
          <w:tcPr>
            <w:tcW w:w="708" w:type="dxa"/>
            <w:gridSpan w:val="3"/>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5677D0F" w14:textId="2A2DA12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-0,32</w:t>
            </w:r>
          </w:p>
        </w:tc>
        <w:tc>
          <w:tcPr>
            <w:tcW w:w="567"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E357BEC" w14:textId="338B3486"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-0,34</w:t>
            </w:r>
          </w:p>
        </w:tc>
        <w:tc>
          <w:tcPr>
            <w:tcW w:w="71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34DFCD8C" w14:textId="7E6AC1B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-0,35</w:t>
            </w:r>
          </w:p>
        </w:tc>
        <w:tc>
          <w:tcPr>
            <w:tcW w:w="566"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08DD5246" w14:textId="609726F5"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-0,37</w:t>
            </w:r>
          </w:p>
        </w:tc>
        <w:tc>
          <w:tcPr>
            <w:tcW w:w="573" w:type="dxa"/>
            <w:gridSpan w:val="4"/>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2DA9F5D0" w14:textId="21BE60F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-0,39</w:t>
            </w:r>
          </w:p>
        </w:tc>
        <w:tc>
          <w:tcPr>
            <w:tcW w:w="570" w:type="dxa"/>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6C47F0BF" w14:textId="1F99D286"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-0,41</w:t>
            </w:r>
          </w:p>
        </w:tc>
        <w:tc>
          <w:tcPr>
            <w:tcW w:w="570" w:type="dxa"/>
            <w:gridSpan w:val="2"/>
            <w:tcBorders>
              <w:top w:val="single" w:sz="4" w:space="0" w:color="000000"/>
              <w:left w:val="single" w:sz="8" w:space="0" w:color="000000"/>
              <w:bottom w:val="single" w:sz="4" w:space="0" w:color="000000"/>
              <w:right w:val="single" w:sz="4" w:space="0" w:color="000000"/>
            </w:tcBorders>
            <w:shd w:val="clear" w:color="auto" w:fill="auto"/>
            <w:tcMar>
              <w:left w:w="0" w:type="dxa"/>
              <w:right w:w="0" w:type="dxa"/>
            </w:tcMar>
            <w:vAlign w:val="center"/>
          </w:tcPr>
          <w:p w14:paraId="1EEBB478" w14:textId="6B2E1167"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-0,43</w:t>
            </w:r>
          </w:p>
        </w:tc>
        <w:tc>
          <w:tcPr>
            <w:tcW w:w="570" w:type="dxa"/>
            <w:tcBorders>
              <w:top w:val="single" w:sz="4" w:space="0" w:color="000000"/>
              <w:left w:val="single" w:sz="8" w:space="0" w:color="000000"/>
              <w:bottom w:val="single" w:sz="4" w:space="0" w:color="000000"/>
              <w:right w:val="single" w:sz="8" w:space="0" w:color="auto"/>
            </w:tcBorders>
            <w:shd w:val="clear" w:color="auto" w:fill="auto"/>
            <w:tcMar>
              <w:left w:w="0" w:type="dxa"/>
              <w:right w:w="0" w:type="dxa"/>
            </w:tcMar>
            <w:vAlign w:val="center"/>
          </w:tcPr>
          <w:p w14:paraId="5377146B" w14:textId="615E9B7F"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color w:val="000000"/>
                <w:sz w:val="20"/>
              </w:rPr>
              <w:t>-0,45</w:t>
            </w:r>
          </w:p>
        </w:tc>
        <w:tc>
          <w:tcPr>
            <w:tcW w:w="807" w:type="dxa"/>
            <w:gridSpan w:val="2"/>
            <w:shd w:val="clear" w:color="auto" w:fill="FFFFFF" w:themeFill="background1"/>
            <w:tcMar>
              <w:left w:w="0" w:type="dxa"/>
              <w:right w:w="0" w:type="dxa"/>
            </w:tcMar>
            <w:vAlign w:val="center"/>
          </w:tcPr>
          <w:p w14:paraId="1A5728E3" w14:textId="41998624"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-3,94</w:t>
            </w:r>
          </w:p>
        </w:tc>
      </w:tr>
      <w:tr w:rsidR="007532AB" w:rsidRPr="004547D4" w14:paraId="765DA4CB" w14:textId="77777777" w:rsidTr="0039465C">
        <w:trPr>
          <w:trHeight w:val="357"/>
        </w:trPr>
        <w:tc>
          <w:tcPr>
            <w:tcW w:w="2865" w:type="dxa"/>
            <w:gridSpan w:val="4"/>
            <w:shd w:val="clear" w:color="auto" w:fill="FFFFFF" w:themeFill="background1"/>
            <w:vAlign w:val="center"/>
          </w:tcPr>
          <w:p w14:paraId="496CC5A0" w14:textId="05BE40EC" w:rsidR="007532AB" w:rsidRPr="004547D4" w:rsidRDefault="007532AB" w:rsidP="007532AB">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pozostałe jednostki - PAŻP</w:t>
            </w:r>
          </w:p>
        </w:tc>
        <w:tc>
          <w:tcPr>
            <w:tcW w:w="567" w:type="dxa"/>
            <w:shd w:val="clear" w:color="auto" w:fill="FFFFFF" w:themeFill="background1"/>
            <w:tcMar>
              <w:left w:w="0" w:type="dxa"/>
              <w:right w:w="0" w:type="dxa"/>
            </w:tcMar>
            <w:vAlign w:val="center"/>
          </w:tcPr>
          <w:p w14:paraId="6CE66928" w14:textId="6E4CB83D"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67" w:type="dxa"/>
            <w:gridSpan w:val="2"/>
            <w:shd w:val="clear" w:color="auto" w:fill="FFFFFF" w:themeFill="background1"/>
            <w:tcMar>
              <w:left w:w="0" w:type="dxa"/>
              <w:right w:w="0" w:type="dxa"/>
            </w:tcMar>
            <w:vAlign w:val="center"/>
          </w:tcPr>
          <w:p w14:paraId="5E5D2229" w14:textId="1044F4B9"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67" w:type="dxa"/>
            <w:shd w:val="clear" w:color="auto" w:fill="FFFFFF" w:themeFill="background1"/>
            <w:tcMar>
              <w:left w:w="0" w:type="dxa"/>
              <w:right w:w="0" w:type="dxa"/>
            </w:tcMar>
            <w:vAlign w:val="center"/>
          </w:tcPr>
          <w:p w14:paraId="35F457D6" w14:textId="406D1AB9"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708" w:type="dxa"/>
            <w:gridSpan w:val="3"/>
            <w:shd w:val="clear" w:color="auto" w:fill="FFFFFF" w:themeFill="background1"/>
            <w:tcMar>
              <w:left w:w="0" w:type="dxa"/>
              <w:right w:w="0" w:type="dxa"/>
            </w:tcMar>
            <w:vAlign w:val="center"/>
          </w:tcPr>
          <w:p w14:paraId="79DA7784" w14:textId="34A709EB"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67" w:type="dxa"/>
            <w:gridSpan w:val="2"/>
            <w:shd w:val="clear" w:color="auto" w:fill="FFFFFF" w:themeFill="background1"/>
            <w:tcMar>
              <w:left w:w="0" w:type="dxa"/>
              <w:right w:w="0" w:type="dxa"/>
            </w:tcMar>
            <w:vAlign w:val="center"/>
          </w:tcPr>
          <w:p w14:paraId="4D280DCB" w14:textId="073446A1"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710" w:type="dxa"/>
            <w:shd w:val="clear" w:color="auto" w:fill="FFFFFF" w:themeFill="background1"/>
            <w:tcMar>
              <w:left w:w="0" w:type="dxa"/>
              <w:right w:w="0" w:type="dxa"/>
            </w:tcMar>
            <w:vAlign w:val="center"/>
          </w:tcPr>
          <w:p w14:paraId="14A614EB" w14:textId="7B86422F"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66" w:type="dxa"/>
            <w:gridSpan w:val="2"/>
            <w:shd w:val="clear" w:color="auto" w:fill="FFFFFF" w:themeFill="background1"/>
            <w:tcMar>
              <w:left w:w="0" w:type="dxa"/>
              <w:right w:w="0" w:type="dxa"/>
            </w:tcMar>
            <w:vAlign w:val="center"/>
          </w:tcPr>
          <w:p w14:paraId="427D2BA0" w14:textId="68A61203"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73" w:type="dxa"/>
            <w:gridSpan w:val="4"/>
            <w:shd w:val="clear" w:color="auto" w:fill="FFFFFF" w:themeFill="background1"/>
            <w:tcMar>
              <w:left w:w="0" w:type="dxa"/>
              <w:right w:w="0" w:type="dxa"/>
            </w:tcMar>
            <w:vAlign w:val="center"/>
          </w:tcPr>
          <w:p w14:paraId="56FF7210" w14:textId="460DF08E"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70" w:type="dxa"/>
            <w:shd w:val="clear" w:color="auto" w:fill="FFFFFF" w:themeFill="background1"/>
            <w:tcMar>
              <w:left w:w="0" w:type="dxa"/>
              <w:right w:w="0" w:type="dxa"/>
            </w:tcMar>
            <w:vAlign w:val="center"/>
          </w:tcPr>
          <w:p w14:paraId="20C7C0F5" w14:textId="1FD24DE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70" w:type="dxa"/>
            <w:gridSpan w:val="2"/>
            <w:shd w:val="clear" w:color="auto" w:fill="FFFFFF" w:themeFill="background1"/>
            <w:tcMar>
              <w:left w:w="0" w:type="dxa"/>
              <w:right w:w="0" w:type="dxa"/>
            </w:tcMar>
            <w:vAlign w:val="center"/>
          </w:tcPr>
          <w:p w14:paraId="2A42351F" w14:textId="62037A59"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570" w:type="dxa"/>
            <w:shd w:val="clear" w:color="auto" w:fill="FFFFFF" w:themeFill="background1"/>
            <w:tcMar>
              <w:left w:w="0" w:type="dxa"/>
              <w:right w:w="0" w:type="dxa"/>
            </w:tcMar>
            <w:vAlign w:val="center"/>
          </w:tcPr>
          <w:p w14:paraId="48FCAFFE" w14:textId="3A798398"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c>
          <w:tcPr>
            <w:tcW w:w="807" w:type="dxa"/>
            <w:gridSpan w:val="2"/>
            <w:shd w:val="clear" w:color="auto" w:fill="FFFFFF" w:themeFill="background1"/>
            <w:tcMar>
              <w:left w:w="0" w:type="dxa"/>
              <w:right w:w="0" w:type="dxa"/>
            </w:tcMar>
            <w:vAlign w:val="center"/>
          </w:tcPr>
          <w:p w14:paraId="20F872ED" w14:textId="62BA4132" w:rsidR="007532AB" w:rsidRPr="008E60FC" w:rsidRDefault="007532AB" w:rsidP="007532AB">
            <w:pPr>
              <w:widowControl/>
              <w:autoSpaceDE/>
              <w:autoSpaceDN/>
              <w:adjustRightInd/>
              <w:spacing w:line="240" w:lineRule="auto"/>
              <w:jc w:val="center"/>
              <w:rPr>
                <w:rFonts w:cs="Times New Roman"/>
                <w:sz w:val="20"/>
              </w:rPr>
            </w:pPr>
            <w:r w:rsidRPr="008E60FC">
              <w:rPr>
                <w:rFonts w:cs="Times New Roman"/>
                <w:sz w:val="20"/>
              </w:rPr>
              <w:t>0</w:t>
            </w:r>
          </w:p>
        </w:tc>
      </w:tr>
      <w:tr w:rsidR="007532AB" w:rsidRPr="004547D4" w14:paraId="1EB2BB8E" w14:textId="77777777" w:rsidTr="0039465C">
        <w:trPr>
          <w:trHeight w:val="348"/>
        </w:trPr>
        <w:tc>
          <w:tcPr>
            <w:tcW w:w="2243" w:type="dxa"/>
            <w:gridSpan w:val="2"/>
            <w:shd w:val="clear" w:color="auto" w:fill="FFFFFF" w:themeFill="background1"/>
            <w:vAlign w:val="center"/>
          </w:tcPr>
          <w:p w14:paraId="793A2A35"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 xml:space="preserve">Źródła finansowania </w:t>
            </w:r>
          </w:p>
        </w:tc>
        <w:tc>
          <w:tcPr>
            <w:tcW w:w="7964" w:type="dxa"/>
            <w:gridSpan w:val="24"/>
            <w:shd w:val="clear" w:color="auto" w:fill="FFFFFF" w:themeFill="background1"/>
            <w:vAlign w:val="center"/>
          </w:tcPr>
          <w:p w14:paraId="44D0EDF2" w14:textId="42CEA0C5" w:rsidR="007532AB" w:rsidRDefault="007532AB" w:rsidP="007532AB">
            <w:pPr>
              <w:widowControl/>
              <w:autoSpaceDE/>
              <w:autoSpaceDN/>
              <w:adjustRightInd/>
              <w:spacing w:before="120" w:line="240" w:lineRule="auto"/>
              <w:jc w:val="both"/>
              <w:rPr>
                <w:rFonts w:eastAsia="Calibri" w:cs="Times New Roman"/>
                <w:sz w:val="22"/>
                <w:szCs w:val="22"/>
                <w:lang w:eastAsia="en-US"/>
              </w:rPr>
            </w:pPr>
            <w:r>
              <w:rPr>
                <w:rFonts w:eastAsia="Calibri" w:cs="Times New Roman"/>
                <w:sz w:val="22"/>
                <w:szCs w:val="22"/>
                <w:lang w:eastAsia="en-US"/>
              </w:rPr>
              <w:t>Wydatki urzędu obsługującego ministra właściwego do spraw transportu oraz ULC zostaną sfinansowane z części 39 budżetu państwa, zwiększonej o kwoty wskazane w</w:t>
            </w:r>
            <w:r w:rsidR="00072270">
              <w:rPr>
                <w:rFonts w:eastAsia="Calibri" w:cs="Times New Roman"/>
                <w:sz w:val="22"/>
                <w:szCs w:val="22"/>
                <w:lang w:eastAsia="en-US"/>
              </w:rPr>
              <w:t> </w:t>
            </w:r>
            <w:r>
              <w:rPr>
                <w:rFonts w:eastAsia="Calibri" w:cs="Times New Roman"/>
                <w:sz w:val="22"/>
                <w:szCs w:val="22"/>
                <w:lang w:eastAsia="en-US"/>
              </w:rPr>
              <w:t>art. 26 ust. 1 pkt 1 i 2 projektu ustawy.</w:t>
            </w:r>
          </w:p>
          <w:p w14:paraId="216370F9" w14:textId="05A74E35" w:rsidR="007532AB" w:rsidRDefault="007532AB" w:rsidP="007532AB">
            <w:pPr>
              <w:widowControl/>
              <w:autoSpaceDE/>
              <w:autoSpaceDN/>
              <w:adjustRightInd/>
              <w:spacing w:before="120" w:line="240" w:lineRule="auto"/>
              <w:jc w:val="both"/>
              <w:rPr>
                <w:rFonts w:eastAsia="Calibri" w:cs="Times New Roman"/>
                <w:sz w:val="22"/>
                <w:szCs w:val="22"/>
                <w:lang w:eastAsia="en-US"/>
              </w:rPr>
            </w:pPr>
            <w:r>
              <w:rPr>
                <w:rFonts w:eastAsia="Calibri" w:cs="Times New Roman"/>
                <w:sz w:val="22"/>
                <w:szCs w:val="22"/>
                <w:lang w:eastAsia="en-US"/>
              </w:rPr>
              <w:t>Wydatki jednostek samorządu terytorialnego związane z ewentualnym uiszczaniem opłat za czynności PAŻP związane z wyznaczaniem stref geograficznych zostaną sfinansowane w ramach dotychczasowego limitu wydatków tych jednostek.</w:t>
            </w:r>
          </w:p>
          <w:p w14:paraId="49868B46" w14:textId="01887EC9" w:rsidR="007532AB" w:rsidRDefault="007532AB" w:rsidP="007532AB">
            <w:pPr>
              <w:widowControl/>
              <w:autoSpaceDE/>
              <w:autoSpaceDN/>
              <w:adjustRightInd/>
              <w:spacing w:before="120" w:line="240" w:lineRule="auto"/>
              <w:jc w:val="both"/>
              <w:rPr>
                <w:rFonts w:eastAsia="Calibri" w:cs="Times New Roman"/>
                <w:sz w:val="22"/>
                <w:szCs w:val="22"/>
                <w:lang w:eastAsia="en-US"/>
              </w:rPr>
            </w:pPr>
            <w:r>
              <w:rPr>
                <w:rFonts w:eastAsia="Calibri" w:cs="Times New Roman"/>
                <w:sz w:val="22"/>
                <w:szCs w:val="22"/>
                <w:lang w:eastAsia="en-US"/>
              </w:rPr>
              <w:t>Wydatki PAŻP związane z wyznaczaniem stref geograficznych dla BSP zostaną sfinansowane z pobieranych przez PAŻP opłat za czynności realizowane w tym zakresie.</w:t>
            </w:r>
          </w:p>
          <w:p w14:paraId="47723F25" w14:textId="3340B78C" w:rsidR="007532AB" w:rsidRPr="004547D4" w:rsidRDefault="007532AB" w:rsidP="007532AB">
            <w:pPr>
              <w:widowControl/>
              <w:autoSpaceDE/>
              <w:autoSpaceDN/>
              <w:adjustRightInd/>
              <w:spacing w:before="120" w:line="240" w:lineRule="auto"/>
              <w:jc w:val="both"/>
              <w:rPr>
                <w:rFonts w:eastAsia="Calibri" w:cs="Times New Roman"/>
                <w:sz w:val="22"/>
                <w:szCs w:val="22"/>
                <w:lang w:eastAsia="en-US"/>
              </w:rPr>
            </w:pPr>
            <w:r>
              <w:rPr>
                <w:rFonts w:eastAsia="Calibri" w:cs="Times New Roman"/>
                <w:sz w:val="22"/>
                <w:szCs w:val="22"/>
                <w:lang w:eastAsia="en-US"/>
              </w:rPr>
              <w:t xml:space="preserve">Wydatki pozostałych jednostek sektora finansów publicznych </w:t>
            </w:r>
            <w:r w:rsidRPr="00606A29">
              <w:rPr>
                <w:rFonts w:eastAsia="Calibri" w:cs="Times New Roman"/>
                <w:sz w:val="22"/>
                <w:szCs w:val="22"/>
                <w:lang w:eastAsia="en-US"/>
              </w:rPr>
              <w:t>związane z ewentualnym uiszczaniem opłat za czynności PAŻP związane z wyznaczaniem stref geograficznych zostaną sfinansowane w ramach dotychczasowego</w:t>
            </w:r>
            <w:r>
              <w:rPr>
                <w:rFonts w:eastAsia="Calibri" w:cs="Times New Roman"/>
                <w:sz w:val="22"/>
                <w:szCs w:val="22"/>
                <w:lang w:eastAsia="en-US"/>
              </w:rPr>
              <w:t xml:space="preserve"> limitu wydatków tych jednostek.</w:t>
            </w:r>
          </w:p>
          <w:p w14:paraId="04ED4D14" w14:textId="77777777" w:rsidR="007532AB" w:rsidRPr="004547D4" w:rsidRDefault="007532AB" w:rsidP="007532AB">
            <w:pPr>
              <w:widowControl/>
              <w:autoSpaceDE/>
              <w:autoSpaceDN/>
              <w:adjustRightInd/>
              <w:spacing w:line="240" w:lineRule="auto"/>
              <w:jc w:val="both"/>
              <w:rPr>
                <w:rFonts w:eastAsia="Calibri" w:cs="Times New Roman"/>
                <w:sz w:val="22"/>
                <w:szCs w:val="22"/>
                <w:lang w:eastAsia="en-US"/>
              </w:rPr>
            </w:pPr>
          </w:p>
        </w:tc>
      </w:tr>
      <w:tr w:rsidR="007532AB" w:rsidRPr="004547D4" w14:paraId="1BF73E28" w14:textId="77777777" w:rsidTr="0039465C">
        <w:trPr>
          <w:trHeight w:val="1528"/>
        </w:trPr>
        <w:tc>
          <w:tcPr>
            <w:tcW w:w="2243" w:type="dxa"/>
            <w:gridSpan w:val="2"/>
            <w:shd w:val="clear" w:color="auto" w:fill="FFFFFF" w:themeFill="background1"/>
          </w:tcPr>
          <w:p w14:paraId="49D1EE68"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Dodatkowe informacje, w tym wskazanie źródeł danych i przyjętych do obliczeń założeń</w:t>
            </w:r>
          </w:p>
        </w:tc>
        <w:tc>
          <w:tcPr>
            <w:tcW w:w="7964" w:type="dxa"/>
            <w:gridSpan w:val="24"/>
            <w:shd w:val="clear" w:color="auto" w:fill="FFFFFF" w:themeFill="background1"/>
          </w:tcPr>
          <w:p w14:paraId="15B3F1FD" w14:textId="21703418" w:rsidR="007532AB" w:rsidRDefault="007532AB" w:rsidP="007532AB">
            <w:pPr>
              <w:widowControl/>
              <w:autoSpaceDE/>
              <w:autoSpaceDN/>
              <w:adjustRightInd/>
              <w:spacing w:line="240" w:lineRule="auto"/>
              <w:jc w:val="both"/>
              <w:rPr>
                <w:rFonts w:cs="Times New Roman"/>
                <w:bCs/>
                <w:sz w:val="22"/>
                <w:szCs w:val="22"/>
              </w:rPr>
            </w:pPr>
            <w:r>
              <w:rPr>
                <w:rFonts w:cs="Times New Roman"/>
                <w:bCs/>
                <w:sz w:val="22"/>
                <w:szCs w:val="22"/>
              </w:rPr>
              <w:t>Wzrost liczby</w:t>
            </w:r>
            <w:r w:rsidRPr="004547D4">
              <w:rPr>
                <w:rFonts w:cs="Times New Roman"/>
                <w:bCs/>
                <w:sz w:val="22"/>
                <w:szCs w:val="22"/>
              </w:rPr>
              <w:t xml:space="preserve"> operacji </w:t>
            </w:r>
            <w:r>
              <w:rPr>
                <w:rFonts w:cs="Times New Roman"/>
                <w:bCs/>
                <w:sz w:val="22"/>
                <w:szCs w:val="22"/>
              </w:rPr>
              <w:t>BSP</w:t>
            </w:r>
            <w:r w:rsidRPr="004547D4">
              <w:rPr>
                <w:rFonts w:cs="Times New Roman"/>
                <w:bCs/>
                <w:sz w:val="22"/>
                <w:szCs w:val="22"/>
              </w:rPr>
              <w:t xml:space="preserve"> świadczy o coraz większym rozwoju zastosowań </w:t>
            </w:r>
            <w:r>
              <w:rPr>
                <w:rFonts w:cs="Times New Roman"/>
                <w:bCs/>
                <w:sz w:val="22"/>
                <w:szCs w:val="22"/>
              </w:rPr>
              <w:t>BSP</w:t>
            </w:r>
            <w:r w:rsidRPr="004547D4">
              <w:rPr>
                <w:rFonts w:cs="Times New Roman"/>
                <w:bCs/>
                <w:sz w:val="22"/>
                <w:szCs w:val="22"/>
              </w:rPr>
              <w:t xml:space="preserve"> w</w:t>
            </w:r>
            <w:r w:rsidR="00072270">
              <w:rPr>
                <w:rFonts w:cs="Times New Roman"/>
                <w:bCs/>
                <w:sz w:val="22"/>
                <w:szCs w:val="22"/>
              </w:rPr>
              <w:t> </w:t>
            </w:r>
            <w:r w:rsidRPr="004547D4">
              <w:rPr>
                <w:rFonts w:cs="Times New Roman"/>
                <w:bCs/>
                <w:sz w:val="22"/>
                <w:szCs w:val="22"/>
              </w:rPr>
              <w:t xml:space="preserve">obszarach gospodarki, co przekłada się na wpływy do budżetu. Wprowadzenie czytelnego systemu prowadzenia działalności z wykorzystaniem </w:t>
            </w:r>
            <w:r>
              <w:rPr>
                <w:rFonts w:cs="Times New Roman"/>
                <w:bCs/>
                <w:sz w:val="22"/>
                <w:szCs w:val="22"/>
              </w:rPr>
              <w:t>BSP</w:t>
            </w:r>
            <w:r w:rsidRPr="004547D4">
              <w:rPr>
                <w:rFonts w:cs="Times New Roman"/>
                <w:bCs/>
                <w:sz w:val="22"/>
                <w:szCs w:val="22"/>
              </w:rPr>
              <w:t xml:space="preserve"> wraz z</w:t>
            </w:r>
            <w:r w:rsidR="00072270">
              <w:rPr>
                <w:rFonts w:cs="Times New Roman"/>
                <w:bCs/>
                <w:sz w:val="22"/>
                <w:szCs w:val="22"/>
              </w:rPr>
              <w:t> </w:t>
            </w:r>
            <w:r w:rsidRPr="004547D4">
              <w:rPr>
                <w:rFonts w:cs="Times New Roman"/>
                <w:bCs/>
                <w:sz w:val="22"/>
                <w:szCs w:val="22"/>
              </w:rPr>
              <w:t xml:space="preserve">udostępnieniem niezbędnych narzędzi informatycznych usprawniających korzystanie z przestrzeni powietrznej stwarza dogodne warunki do prowadzenia działalności gospodarczej w tym obszarze oraz zapewnia najwyższy możliwy poziom bezpieczeństwa operacji lotniczych wykonywanych przez </w:t>
            </w:r>
            <w:r>
              <w:rPr>
                <w:rFonts w:cs="Times New Roman"/>
                <w:bCs/>
                <w:sz w:val="22"/>
                <w:szCs w:val="22"/>
              </w:rPr>
              <w:t>BSP</w:t>
            </w:r>
            <w:r w:rsidRPr="004547D4">
              <w:rPr>
                <w:rFonts w:cs="Times New Roman"/>
                <w:bCs/>
                <w:sz w:val="22"/>
                <w:szCs w:val="22"/>
              </w:rPr>
              <w:t>. Na początkowym etapie funkcjonowania nowego segmentu rynku lotniczego bezpośrednie wydatki państwa związane z wdrożeniem wszystkich rozwiązań wymaga</w:t>
            </w:r>
            <w:r>
              <w:rPr>
                <w:rFonts w:cs="Times New Roman"/>
                <w:bCs/>
                <w:sz w:val="22"/>
                <w:szCs w:val="22"/>
              </w:rPr>
              <w:t>nych przez regulacje unijne będą</w:t>
            </w:r>
            <w:r w:rsidRPr="004547D4">
              <w:rPr>
                <w:rFonts w:cs="Times New Roman"/>
                <w:bCs/>
                <w:sz w:val="22"/>
                <w:szCs w:val="22"/>
              </w:rPr>
              <w:t xml:space="preserve"> przewyższać bezpośrednie wpływy. Mając na uwadze dostępne dane pozyskane od </w:t>
            </w:r>
            <w:r>
              <w:rPr>
                <w:rFonts w:cs="Times New Roman"/>
                <w:bCs/>
                <w:sz w:val="22"/>
                <w:szCs w:val="22"/>
              </w:rPr>
              <w:t>PAŻP, w 2020 r.</w:t>
            </w:r>
            <w:r w:rsidRPr="004547D4">
              <w:rPr>
                <w:rFonts w:cs="Times New Roman"/>
                <w:bCs/>
                <w:sz w:val="22"/>
                <w:szCs w:val="22"/>
              </w:rPr>
              <w:t xml:space="preserve"> odnotowano wyraźny wzrost </w:t>
            </w:r>
            <w:r>
              <w:rPr>
                <w:rFonts w:cs="Times New Roman"/>
                <w:bCs/>
                <w:sz w:val="22"/>
                <w:szCs w:val="22"/>
              </w:rPr>
              <w:t xml:space="preserve">liczby </w:t>
            </w:r>
            <w:r w:rsidRPr="004547D4">
              <w:rPr>
                <w:rFonts w:cs="Times New Roman"/>
                <w:bCs/>
                <w:sz w:val="22"/>
                <w:szCs w:val="22"/>
              </w:rPr>
              <w:t xml:space="preserve">operacji </w:t>
            </w:r>
            <w:r>
              <w:rPr>
                <w:rFonts w:cs="Times New Roman"/>
                <w:bCs/>
                <w:sz w:val="22"/>
                <w:szCs w:val="22"/>
              </w:rPr>
              <w:t>BSP w stosunku do 2019 r. W 2019 r. liczba</w:t>
            </w:r>
            <w:r w:rsidRPr="004547D4">
              <w:rPr>
                <w:rFonts w:cs="Times New Roman"/>
                <w:bCs/>
                <w:sz w:val="22"/>
                <w:szCs w:val="22"/>
              </w:rPr>
              <w:t xml:space="preserve"> lotów </w:t>
            </w:r>
            <w:r>
              <w:rPr>
                <w:rFonts w:cs="Times New Roman"/>
                <w:bCs/>
                <w:sz w:val="22"/>
                <w:szCs w:val="22"/>
              </w:rPr>
              <w:t xml:space="preserve">BSP w zasięgu widoczności wzrokowej </w:t>
            </w:r>
            <w:r w:rsidRPr="004547D4">
              <w:rPr>
                <w:rFonts w:cs="Times New Roman"/>
                <w:bCs/>
                <w:sz w:val="22"/>
                <w:szCs w:val="22"/>
              </w:rPr>
              <w:t xml:space="preserve">VLOS i </w:t>
            </w:r>
            <w:r>
              <w:rPr>
                <w:rFonts w:cs="Times New Roman"/>
                <w:bCs/>
                <w:sz w:val="22"/>
                <w:szCs w:val="22"/>
              </w:rPr>
              <w:t xml:space="preserve">poza zasięgiem widoczności wzrokowej </w:t>
            </w:r>
            <w:r w:rsidRPr="004547D4">
              <w:rPr>
                <w:rFonts w:cs="Times New Roman"/>
                <w:bCs/>
                <w:sz w:val="22"/>
                <w:szCs w:val="22"/>
              </w:rPr>
              <w:t>BVL</w:t>
            </w:r>
            <w:r>
              <w:rPr>
                <w:rFonts w:cs="Times New Roman"/>
                <w:bCs/>
                <w:sz w:val="22"/>
                <w:szCs w:val="22"/>
              </w:rPr>
              <w:t>O</w:t>
            </w:r>
            <w:r w:rsidRPr="004547D4">
              <w:rPr>
                <w:rFonts w:cs="Times New Roman"/>
                <w:bCs/>
                <w:sz w:val="22"/>
                <w:szCs w:val="22"/>
              </w:rPr>
              <w:t>S w polskiej przestrzeni powi</w:t>
            </w:r>
            <w:r>
              <w:rPr>
                <w:rFonts w:cs="Times New Roman"/>
                <w:bCs/>
                <w:sz w:val="22"/>
                <w:szCs w:val="22"/>
              </w:rPr>
              <w:t>etrznej wynosiła niespełna 15 tys. W roku 2020, kiedy wdrożony został do użytku operacyjnego system PansaUTM oraz w związku z wprowadzonym obowiązkowym zgłaszaniem każdego lotu BSP, liczby te zaczęły gwałtownie rosnąć. W 2020 liczba wszystkich lotów wyniosła 29 6112, a w 2021 r. 53 3761.</w:t>
            </w:r>
            <w:r w:rsidRPr="004547D4">
              <w:rPr>
                <w:rFonts w:cs="Times New Roman"/>
                <w:bCs/>
                <w:sz w:val="22"/>
                <w:szCs w:val="22"/>
              </w:rPr>
              <w:t xml:space="preserve"> Z</w:t>
            </w:r>
            <w:r>
              <w:rPr>
                <w:rFonts w:cs="Times New Roman"/>
                <w:bCs/>
                <w:sz w:val="22"/>
                <w:szCs w:val="22"/>
              </w:rPr>
              <w:t xml:space="preserve"> </w:t>
            </w:r>
            <w:r w:rsidRPr="004547D4">
              <w:rPr>
                <w:rFonts w:cs="Times New Roman"/>
                <w:bCs/>
                <w:sz w:val="22"/>
                <w:szCs w:val="22"/>
              </w:rPr>
              <w:t xml:space="preserve">danych z rejestru operatorów systemów </w:t>
            </w:r>
            <w:r>
              <w:rPr>
                <w:rFonts w:cs="Times New Roman"/>
                <w:bCs/>
                <w:sz w:val="22"/>
                <w:szCs w:val="22"/>
              </w:rPr>
              <w:t>BSP</w:t>
            </w:r>
            <w:r w:rsidRPr="004547D4">
              <w:rPr>
                <w:rFonts w:cs="Times New Roman"/>
                <w:bCs/>
                <w:sz w:val="22"/>
                <w:szCs w:val="22"/>
              </w:rPr>
              <w:t xml:space="preserve"> wynika, że rynek </w:t>
            </w:r>
            <w:r>
              <w:rPr>
                <w:rFonts w:cs="Times New Roman"/>
                <w:bCs/>
                <w:sz w:val="22"/>
                <w:szCs w:val="22"/>
              </w:rPr>
              <w:t>BSP</w:t>
            </w:r>
            <w:r w:rsidRPr="004547D4">
              <w:rPr>
                <w:rFonts w:cs="Times New Roman"/>
                <w:bCs/>
                <w:sz w:val="22"/>
                <w:szCs w:val="22"/>
              </w:rPr>
              <w:t xml:space="preserve"> jest w Po</w:t>
            </w:r>
            <w:r>
              <w:rPr>
                <w:rFonts w:cs="Times New Roman"/>
                <w:bCs/>
                <w:sz w:val="22"/>
                <w:szCs w:val="22"/>
              </w:rPr>
              <w:t>lsce jednym z największych w UE.</w:t>
            </w:r>
            <w:r w:rsidRPr="004547D4">
              <w:rPr>
                <w:rFonts w:cs="Times New Roman"/>
                <w:bCs/>
                <w:sz w:val="22"/>
                <w:szCs w:val="22"/>
              </w:rPr>
              <w:t xml:space="preserve"> </w:t>
            </w:r>
            <w:r>
              <w:rPr>
                <w:rFonts w:cs="Times New Roman"/>
                <w:bCs/>
                <w:sz w:val="22"/>
                <w:szCs w:val="22"/>
              </w:rPr>
              <w:t>W</w:t>
            </w:r>
            <w:r w:rsidRPr="004547D4">
              <w:rPr>
                <w:rFonts w:cs="Times New Roman"/>
                <w:bCs/>
                <w:sz w:val="22"/>
                <w:szCs w:val="22"/>
              </w:rPr>
              <w:t xml:space="preserve"> ciągu dwóch pierwszych miesięcy 2021 r. do omawianego rejestru wpisało się ok. 42 tysiące operatorów. Z czasem wpływy do budżetu państwa związane bezpośrednio lub pośrednio z rozwojem nowego obszaru gospodarki opartego o </w:t>
            </w:r>
            <w:r>
              <w:rPr>
                <w:rFonts w:cs="Times New Roman"/>
                <w:bCs/>
                <w:sz w:val="22"/>
                <w:szCs w:val="22"/>
              </w:rPr>
              <w:t>BSP</w:t>
            </w:r>
            <w:r w:rsidRPr="004547D4">
              <w:rPr>
                <w:rFonts w:cs="Times New Roman"/>
                <w:bCs/>
                <w:sz w:val="22"/>
                <w:szCs w:val="22"/>
              </w:rPr>
              <w:t xml:space="preserve"> będą przekraczać wydatki. Mając to na względzie istotne jest, aby wysokość planowanych opłat za realizację czynności Prezesa </w:t>
            </w:r>
            <w:r>
              <w:rPr>
                <w:rFonts w:cs="Times New Roman"/>
                <w:bCs/>
                <w:sz w:val="22"/>
                <w:szCs w:val="22"/>
              </w:rPr>
              <w:t>ULC</w:t>
            </w:r>
            <w:r w:rsidRPr="004547D4">
              <w:rPr>
                <w:rFonts w:cs="Times New Roman"/>
                <w:bCs/>
                <w:sz w:val="22"/>
                <w:szCs w:val="22"/>
              </w:rPr>
              <w:t xml:space="preserve"> nie była nadmierna i nie blokowała rozwoju wykonywania operacji lotniczych. Jednocześnie, organy administracji publicznej muszą zostać wyposażone w narzędzia pozwalające realizować zadania publiczne w sposób cyfrowy, umożliwiające zapewnienie najwyższego możliwego bezpieczeństwa operacji lotniczych i egzekwowanie naruszeń, co jest warunkiem zapewnienia stałego, zrównoważonego rozwoju lotnictwa bezzałogowego. Korzyści dla polskiej gospodarki wynikające z rozwoju zastosowań </w:t>
            </w:r>
            <w:r>
              <w:rPr>
                <w:rFonts w:cs="Times New Roman"/>
                <w:bCs/>
                <w:sz w:val="22"/>
                <w:szCs w:val="22"/>
              </w:rPr>
              <w:t>BSP</w:t>
            </w:r>
            <w:r w:rsidRPr="004547D4">
              <w:rPr>
                <w:rFonts w:cs="Times New Roman"/>
                <w:bCs/>
                <w:sz w:val="22"/>
                <w:szCs w:val="22"/>
              </w:rPr>
              <w:t xml:space="preserve"> szacowane są wg prognozy umiarkowanej na 567 mld złotych w latach 2017-2026 (Biała Księga Rynku Bezzałogowych Statków Powietrznych. U-space – Rynek – Wizja Rozwoju).</w:t>
            </w:r>
          </w:p>
          <w:p w14:paraId="33572119" w14:textId="0C9EF353" w:rsidR="007532AB" w:rsidRPr="00493E19" w:rsidRDefault="007532AB" w:rsidP="007532AB">
            <w:pPr>
              <w:widowControl/>
              <w:autoSpaceDE/>
              <w:autoSpaceDN/>
              <w:adjustRightInd/>
              <w:spacing w:before="120" w:line="240" w:lineRule="auto"/>
              <w:jc w:val="both"/>
              <w:rPr>
                <w:rFonts w:cs="Times New Roman"/>
                <w:b/>
                <w:bCs/>
                <w:sz w:val="22"/>
                <w:szCs w:val="22"/>
                <w:u w:val="single"/>
              </w:rPr>
            </w:pPr>
            <w:r>
              <w:rPr>
                <w:rFonts w:cs="Times New Roman"/>
                <w:b/>
                <w:bCs/>
                <w:sz w:val="22"/>
                <w:szCs w:val="22"/>
                <w:u w:val="single"/>
              </w:rPr>
              <w:t>1) ULC</w:t>
            </w:r>
          </w:p>
          <w:p w14:paraId="309D79AD" w14:textId="37F7315D" w:rsidR="007532AB" w:rsidRPr="004547D4" w:rsidRDefault="007532AB" w:rsidP="007532AB">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 xml:space="preserve">Budżet państwa zasilą wpływy z opłat lotniczych za czynności dotychczas niewykonywane </w:t>
            </w:r>
            <w:r>
              <w:rPr>
                <w:rFonts w:cs="Times New Roman"/>
                <w:bCs/>
                <w:sz w:val="22"/>
                <w:szCs w:val="22"/>
              </w:rPr>
              <w:t xml:space="preserve">przez Prezesa ULC. </w:t>
            </w:r>
            <w:r w:rsidRPr="00A4787F">
              <w:rPr>
                <w:rFonts w:cs="Times New Roman"/>
                <w:bCs/>
                <w:sz w:val="22"/>
                <w:szCs w:val="22"/>
              </w:rPr>
              <w:t>W związku z rozpoczęciem stosowania od 31 grudnia 2020 r. przepisów rozporządzenia wykonawczego w ciągu dwóch pierwszych miesięcy 2021 r. ok. 3000 operatorów złożyło Prezesowi ULC oświadczenie  o</w:t>
            </w:r>
            <w:r w:rsidR="00072270">
              <w:rPr>
                <w:rFonts w:cs="Times New Roman"/>
                <w:bCs/>
                <w:sz w:val="22"/>
                <w:szCs w:val="22"/>
              </w:rPr>
              <w:t> </w:t>
            </w:r>
            <w:r w:rsidRPr="00A4787F">
              <w:rPr>
                <w:rFonts w:cs="Times New Roman"/>
                <w:bCs/>
                <w:sz w:val="22"/>
                <w:szCs w:val="22"/>
              </w:rPr>
              <w:t xml:space="preserve">wykonywaniu operacji w kategorii „szczególnej” w oparciu o krajowe scenariusze standardowe. </w:t>
            </w:r>
            <w:bookmarkStart w:id="6" w:name="_Hlk106080812"/>
            <w:r w:rsidRPr="00A4787F">
              <w:rPr>
                <w:rFonts w:cs="Times New Roman"/>
                <w:bCs/>
                <w:sz w:val="22"/>
                <w:szCs w:val="22"/>
              </w:rPr>
              <w:t xml:space="preserve">Należy mieć na uwadze, że od </w:t>
            </w:r>
            <w:r>
              <w:rPr>
                <w:rFonts w:cs="Times New Roman"/>
                <w:bCs/>
                <w:sz w:val="22"/>
                <w:szCs w:val="22"/>
              </w:rPr>
              <w:t>1</w:t>
            </w:r>
            <w:r w:rsidRPr="00A4787F">
              <w:rPr>
                <w:rFonts w:cs="Times New Roman"/>
                <w:bCs/>
                <w:sz w:val="22"/>
                <w:szCs w:val="22"/>
              </w:rPr>
              <w:t xml:space="preserve"> </w:t>
            </w:r>
            <w:r>
              <w:rPr>
                <w:rFonts w:cs="Times New Roman"/>
                <w:bCs/>
                <w:sz w:val="22"/>
                <w:szCs w:val="22"/>
              </w:rPr>
              <w:t>stycznia</w:t>
            </w:r>
            <w:r w:rsidRPr="00A4787F">
              <w:rPr>
                <w:rFonts w:cs="Times New Roman"/>
                <w:bCs/>
                <w:sz w:val="22"/>
                <w:szCs w:val="22"/>
              </w:rPr>
              <w:t xml:space="preserve"> 202</w:t>
            </w:r>
            <w:r>
              <w:rPr>
                <w:rFonts w:cs="Times New Roman"/>
                <w:bCs/>
                <w:sz w:val="22"/>
                <w:szCs w:val="22"/>
              </w:rPr>
              <w:t>4</w:t>
            </w:r>
            <w:r w:rsidRPr="00A4787F">
              <w:rPr>
                <w:rFonts w:cs="Times New Roman"/>
                <w:bCs/>
                <w:sz w:val="22"/>
                <w:szCs w:val="22"/>
              </w:rPr>
              <w:t xml:space="preserve"> r. przez użytkowników będą mogły być wykorzystywane dwa scenariusze standardowe unijne (określone w dodatku 1 załącznika do rozporządzenia UE), które w dalszej perspektywie mają zastąpić krajowe scenariusze standardowe</w:t>
            </w:r>
            <w:bookmarkEnd w:id="6"/>
            <w:r w:rsidRPr="00A4787F">
              <w:rPr>
                <w:rFonts w:cs="Times New Roman"/>
                <w:bCs/>
                <w:sz w:val="22"/>
                <w:szCs w:val="22"/>
              </w:rPr>
              <w:t xml:space="preserve">. Ponieważ oświadczenie jest ważne 2 lata należy zakładać, że operatorzy cyklicznie co dwa lata będą składać takie oświadczenia, co wiąże się ze stałymi wpływami do budżetu państwa. Jednocześnie w okresie </w:t>
            </w:r>
            <w:r>
              <w:rPr>
                <w:rFonts w:cs="Times New Roman"/>
                <w:bCs/>
                <w:sz w:val="22"/>
                <w:szCs w:val="22"/>
              </w:rPr>
              <w:t>dziewięciu</w:t>
            </w:r>
            <w:r w:rsidRPr="00A4787F">
              <w:rPr>
                <w:rFonts w:cs="Times New Roman"/>
                <w:bCs/>
                <w:sz w:val="22"/>
                <w:szCs w:val="22"/>
              </w:rPr>
              <w:t xml:space="preserve"> miesięcy 2021 r. do Prezesa ULC wpłynęło </w:t>
            </w:r>
            <w:r>
              <w:rPr>
                <w:rFonts w:cs="Times New Roman"/>
                <w:bCs/>
                <w:sz w:val="22"/>
                <w:szCs w:val="22"/>
              </w:rPr>
              <w:t>3940</w:t>
            </w:r>
            <w:r w:rsidRPr="00A4787F">
              <w:rPr>
                <w:rFonts w:cs="Times New Roman"/>
                <w:bCs/>
                <w:sz w:val="22"/>
                <w:szCs w:val="22"/>
              </w:rPr>
              <w:t xml:space="preserve"> </w:t>
            </w:r>
            <w:r>
              <w:rPr>
                <w:rFonts w:cs="Times New Roman"/>
                <w:bCs/>
                <w:sz w:val="22"/>
                <w:szCs w:val="22"/>
              </w:rPr>
              <w:t>oświadczeń o wykonywanie operacji na podstawie krajowych scenariuszy standardowych pozwalających</w:t>
            </w:r>
            <w:r w:rsidRPr="00A4787F">
              <w:rPr>
                <w:rFonts w:cs="Times New Roman"/>
                <w:bCs/>
                <w:sz w:val="22"/>
                <w:szCs w:val="22"/>
              </w:rPr>
              <w:t xml:space="preserve"> na operację w kategorii „szczególnej”. Należy mieć przy tym na uwadze, że nakład pracy przy rozpatrywaniu wniosku o zezwolenie na operację ponoszony przez administrację jest znaczne wyższy niż przy przyjmowaniu oświadczeń do wykonywania operacji w oparciu o scenariusze standardowe. Jednocześnie należy założyć, że w związku z zakładanym rozwojem branży bezzałogowej i coraz szerszym wykorzystywaniem tych urządzeń w gospodarce, w kolejnych latach sukcesywnie zwiększać się będzie liczba wniosków o zezwolenia na operację w kategorii „szczególnej”, jak również składanych oświadczeń do wykonywania operacji w tej kategorii</w:t>
            </w:r>
            <w:r>
              <w:rPr>
                <w:rFonts w:cs="Times New Roman"/>
                <w:bCs/>
                <w:sz w:val="22"/>
                <w:szCs w:val="22"/>
              </w:rPr>
              <w:t>, w szczególności gdy nie będzie możliwości korzystania z krajowych scenariuszy standardowych</w:t>
            </w:r>
            <w:r w:rsidRPr="00A4787F">
              <w:rPr>
                <w:rFonts w:cs="Times New Roman"/>
                <w:bCs/>
                <w:sz w:val="22"/>
                <w:szCs w:val="22"/>
              </w:rPr>
              <w:t>. Zakładany wzrost został oszacowany na podstawie danych pozyskanych z PAŻP w za</w:t>
            </w:r>
            <w:r>
              <w:rPr>
                <w:rFonts w:cs="Times New Roman"/>
                <w:bCs/>
                <w:sz w:val="22"/>
                <w:szCs w:val="22"/>
              </w:rPr>
              <w:t>kresie wzrostu operacji wykonywanych systemami bezzałogowych statków powietrznych w relacji roku 2019 do roku 2020 oraz z uwzględnieniem danych z zakresie rozwoju niniejszej branży ujętych w</w:t>
            </w:r>
            <w:r>
              <w:t xml:space="preserve"> </w:t>
            </w:r>
            <w:r w:rsidRPr="00746913">
              <w:rPr>
                <w:rFonts w:cs="Times New Roman"/>
                <w:bCs/>
                <w:sz w:val="22"/>
                <w:szCs w:val="22"/>
              </w:rPr>
              <w:t>Biał</w:t>
            </w:r>
            <w:r>
              <w:rPr>
                <w:rFonts w:cs="Times New Roman"/>
                <w:bCs/>
                <w:sz w:val="22"/>
                <w:szCs w:val="22"/>
              </w:rPr>
              <w:t>ej</w:t>
            </w:r>
            <w:r w:rsidRPr="00746913">
              <w:rPr>
                <w:rFonts w:cs="Times New Roman"/>
                <w:bCs/>
                <w:sz w:val="22"/>
                <w:szCs w:val="22"/>
              </w:rPr>
              <w:t xml:space="preserve"> Księ</w:t>
            </w:r>
            <w:r>
              <w:rPr>
                <w:rFonts w:cs="Times New Roman"/>
                <w:bCs/>
                <w:sz w:val="22"/>
                <w:szCs w:val="22"/>
              </w:rPr>
              <w:t>dze</w:t>
            </w:r>
            <w:r w:rsidRPr="00746913">
              <w:rPr>
                <w:rFonts w:cs="Times New Roman"/>
                <w:bCs/>
                <w:sz w:val="22"/>
                <w:szCs w:val="22"/>
              </w:rPr>
              <w:t xml:space="preserve"> Rynku Bezzałogowych Statków Powietrznych. U-space – Rynek – Wizja Rozwoju</w:t>
            </w:r>
            <w:r>
              <w:rPr>
                <w:rFonts w:cs="Times New Roman"/>
                <w:bCs/>
                <w:sz w:val="22"/>
                <w:szCs w:val="22"/>
              </w:rPr>
              <w:t>. Niniejsze założenia są także spójne z danymi ze światowego rynku rozwoju dronów, w szczególności z danymi fi</w:t>
            </w:r>
            <w:r w:rsidRPr="00746913">
              <w:rPr>
                <w:rFonts w:cs="Times New Roman"/>
                <w:bCs/>
                <w:sz w:val="22"/>
                <w:szCs w:val="22"/>
              </w:rPr>
              <w:t>rm</w:t>
            </w:r>
            <w:r>
              <w:rPr>
                <w:rFonts w:cs="Times New Roman"/>
                <w:bCs/>
                <w:sz w:val="22"/>
                <w:szCs w:val="22"/>
              </w:rPr>
              <w:t>y</w:t>
            </w:r>
            <w:r w:rsidRPr="00746913">
              <w:rPr>
                <w:rFonts w:cs="Times New Roman"/>
                <w:bCs/>
                <w:sz w:val="22"/>
                <w:szCs w:val="22"/>
              </w:rPr>
              <w:t xml:space="preserve"> badawcz</w:t>
            </w:r>
            <w:r>
              <w:rPr>
                <w:rFonts w:cs="Times New Roman"/>
                <w:bCs/>
                <w:sz w:val="22"/>
                <w:szCs w:val="22"/>
              </w:rPr>
              <w:t xml:space="preserve">ej </w:t>
            </w:r>
            <w:r w:rsidRPr="00746913">
              <w:rPr>
                <w:rFonts w:cs="Times New Roman"/>
                <w:bCs/>
                <w:sz w:val="22"/>
                <w:szCs w:val="22"/>
              </w:rPr>
              <w:t xml:space="preserve">IDTechEx </w:t>
            </w:r>
            <w:r>
              <w:rPr>
                <w:rFonts w:cs="Times New Roman"/>
                <w:bCs/>
                <w:sz w:val="22"/>
                <w:szCs w:val="22"/>
              </w:rPr>
              <w:t>(</w:t>
            </w:r>
            <w:r w:rsidRPr="00746913">
              <w:rPr>
                <w:rFonts w:cs="Times New Roman"/>
                <w:bCs/>
                <w:sz w:val="22"/>
                <w:szCs w:val="22"/>
              </w:rPr>
              <w:t>raport pt.</w:t>
            </w:r>
            <w:r>
              <w:rPr>
                <w:rFonts w:cs="Times New Roman"/>
                <w:bCs/>
                <w:sz w:val="22"/>
                <w:szCs w:val="22"/>
              </w:rPr>
              <w:t xml:space="preserve"> „</w:t>
            </w:r>
            <w:r w:rsidRPr="00746913">
              <w:rPr>
                <w:rFonts w:cs="Times New Roman"/>
                <w:bCs/>
                <w:sz w:val="22"/>
                <w:szCs w:val="22"/>
              </w:rPr>
              <w:t>Drone Market and Industries 2021-2041</w:t>
            </w:r>
            <w:r>
              <w:rPr>
                <w:rFonts w:cs="Times New Roman"/>
                <w:bCs/>
                <w:sz w:val="22"/>
                <w:szCs w:val="22"/>
              </w:rPr>
              <w:t xml:space="preserve">”), zgodnie z którymi </w:t>
            </w:r>
            <w:r w:rsidRPr="00746913">
              <w:rPr>
                <w:rFonts w:cs="Times New Roman"/>
                <w:bCs/>
                <w:sz w:val="22"/>
                <w:szCs w:val="22"/>
              </w:rPr>
              <w:t>przewiduje</w:t>
            </w:r>
            <w:r>
              <w:rPr>
                <w:rFonts w:cs="Times New Roman"/>
                <w:bCs/>
                <w:sz w:val="22"/>
                <w:szCs w:val="22"/>
              </w:rPr>
              <w:t xml:space="preserve"> się</w:t>
            </w:r>
            <w:r w:rsidRPr="00746913">
              <w:rPr>
                <w:rFonts w:cs="Times New Roman"/>
                <w:bCs/>
                <w:sz w:val="22"/>
                <w:szCs w:val="22"/>
              </w:rPr>
              <w:t>, że do 2041 r. rynek globalny urządzeń określanych ogólnie jako drony wart będzie ponad 22 mld USD</w:t>
            </w:r>
            <w:r>
              <w:rPr>
                <w:rFonts w:cs="Times New Roman"/>
                <w:bCs/>
                <w:sz w:val="22"/>
                <w:szCs w:val="22"/>
              </w:rPr>
              <w:t>, co będzie</w:t>
            </w:r>
            <w:r w:rsidDel="00D83D24">
              <w:rPr>
                <w:rFonts w:cs="Times New Roman"/>
                <w:bCs/>
                <w:sz w:val="22"/>
                <w:szCs w:val="22"/>
              </w:rPr>
              <w:t xml:space="preserve"> </w:t>
            </w:r>
            <w:r>
              <w:rPr>
                <w:rFonts w:cs="Times New Roman"/>
                <w:bCs/>
                <w:sz w:val="22"/>
                <w:szCs w:val="22"/>
              </w:rPr>
              <w:t xml:space="preserve">stanowić wzrost o 500% wobec stanu obecnego. </w:t>
            </w:r>
            <w:r w:rsidRPr="004547D4">
              <w:rPr>
                <w:rFonts w:cs="Times New Roman"/>
                <w:bCs/>
                <w:sz w:val="22"/>
                <w:szCs w:val="22"/>
              </w:rPr>
              <w:t xml:space="preserve">Dodatkowo Prezes </w:t>
            </w:r>
            <w:r>
              <w:rPr>
                <w:rFonts w:cs="Times New Roman"/>
                <w:bCs/>
                <w:sz w:val="22"/>
                <w:szCs w:val="22"/>
              </w:rPr>
              <w:t>ULC</w:t>
            </w:r>
            <w:r w:rsidRPr="004547D4">
              <w:rPr>
                <w:rFonts w:cs="Times New Roman"/>
                <w:bCs/>
                <w:sz w:val="22"/>
                <w:szCs w:val="22"/>
              </w:rPr>
              <w:t xml:space="preserve"> będzie wydawał wysoko wyspecjalizowanym w obszarze BSP podmiotom certyfikat LUC. Mając na uwadze powyższe dane oraz dane o liczbie wykonanych operacji w 2020 r. przekazanych przez PAŻP można założyć, że z uwagi na coraz szersze zastosowanie systemów bezzałogowych statków powietrznych przez zainteresowane podmioty, w tym przedsiębiorców, i coraz większą liczbę operacji wykonywanych przy użyciu systemów bezzałogowych statków powietrznych, wpływy do budżetu spodziewane są w znacznej wysokości.</w:t>
            </w:r>
          </w:p>
          <w:p w14:paraId="2451A12A" w14:textId="6E33E6E7" w:rsidR="007532AB" w:rsidRPr="004547D4" w:rsidRDefault="007532AB" w:rsidP="007532AB">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 xml:space="preserve">Wpływ do budżetu państwa </w:t>
            </w:r>
            <w:r>
              <w:rPr>
                <w:rFonts w:cs="Times New Roman"/>
                <w:bCs/>
                <w:sz w:val="22"/>
                <w:szCs w:val="22"/>
              </w:rPr>
              <w:t>stanowić będą</w:t>
            </w:r>
            <w:r w:rsidRPr="004547D4">
              <w:rPr>
                <w:rFonts w:cs="Times New Roman"/>
                <w:bCs/>
                <w:sz w:val="22"/>
                <w:szCs w:val="22"/>
              </w:rPr>
              <w:t xml:space="preserve"> także opłaty lotnicze za bieżący nadzór nad podmiotami posiadającymi certyfikat LUC oraz podmiotami, które będą przeprowadzać szkolenie praktyczne i ocenę umiejętności praktycznych, oraz przeprowadzać egzamin</w:t>
            </w:r>
            <w:r>
              <w:rPr>
                <w:rFonts w:cs="Times New Roman"/>
                <w:bCs/>
                <w:sz w:val="22"/>
                <w:szCs w:val="22"/>
              </w:rPr>
              <w:t>,</w:t>
            </w:r>
            <w:r w:rsidRPr="004547D4">
              <w:rPr>
                <w:rFonts w:cs="Times New Roman"/>
                <w:bCs/>
                <w:sz w:val="22"/>
                <w:szCs w:val="22"/>
              </w:rPr>
              <w:t xml:space="preserve"> w wyniku którego będą wydawać </w:t>
            </w:r>
            <w:r>
              <w:rPr>
                <w:rFonts w:cs="Times New Roman"/>
                <w:bCs/>
                <w:sz w:val="22"/>
                <w:szCs w:val="22"/>
              </w:rPr>
              <w:t xml:space="preserve">potwierdzenie </w:t>
            </w:r>
            <w:r w:rsidR="005C2A79">
              <w:rPr>
                <w:rFonts w:cs="Times New Roman"/>
                <w:bCs/>
                <w:sz w:val="22"/>
                <w:szCs w:val="22"/>
              </w:rPr>
              <w:t>zdania egzaminu z</w:t>
            </w:r>
            <w:r w:rsidRPr="004547D4">
              <w:rPr>
                <w:rFonts w:cs="Times New Roman"/>
                <w:bCs/>
                <w:sz w:val="22"/>
                <w:szCs w:val="22"/>
              </w:rPr>
              <w:t xml:space="preserve"> wiedzy teoretycznej </w:t>
            </w:r>
            <w:r>
              <w:rPr>
                <w:rFonts w:cs="Times New Roman"/>
                <w:bCs/>
                <w:sz w:val="22"/>
                <w:szCs w:val="22"/>
              </w:rPr>
              <w:t>albo</w:t>
            </w:r>
            <w:r w:rsidRPr="004547D4">
              <w:rPr>
                <w:rFonts w:cs="Times New Roman"/>
                <w:bCs/>
                <w:sz w:val="22"/>
                <w:szCs w:val="22"/>
              </w:rPr>
              <w:t xml:space="preserve"> potwierdzenie ukończenia szkolenia praktycznego</w:t>
            </w:r>
            <w:r>
              <w:rPr>
                <w:rFonts w:cs="Times New Roman"/>
                <w:bCs/>
                <w:sz w:val="22"/>
                <w:szCs w:val="22"/>
              </w:rPr>
              <w:t xml:space="preserve"> i oceny umiejętności praktycznych</w:t>
            </w:r>
            <w:r w:rsidRPr="004547D4">
              <w:rPr>
                <w:rFonts w:cs="Times New Roman"/>
                <w:bCs/>
                <w:sz w:val="22"/>
                <w:szCs w:val="22"/>
              </w:rPr>
              <w:t xml:space="preserve">. Wyznaczone podmioty po uzyskaniu wyznaczenia przez Prezesa ULC będą także mogły przeprowadzać egzamin w podkategorii A2 kategorii „otwartej” </w:t>
            </w:r>
            <w:r>
              <w:rPr>
                <w:rFonts w:cs="Times New Roman"/>
                <w:bCs/>
                <w:sz w:val="22"/>
                <w:szCs w:val="22"/>
              </w:rPr>
              <w:t>niezbędny do wydania</w:t>
            </w:r>
            <w:r w:rsidRPr="004547D4">
              <w:rPr>
                <w:rFonts w:cs="Times New Roman"/>
                <w:bCs/>
                <w:sz w:val="22"/>
                <w:szCs w:val="22"/>
              </w:rPr>
              <w:t xml:space="preserve"> certyfikat</w:t>
            </w:r>
            <w:r>
              <w:rPr>
                <w:rFonts w:cs="Times New Roman"/>
                <w:bCs/>
                <w:sz w:val="22"/>
                <w:szCs w:val="22"/>
              </w:rPr>
              <w:t>u</w:t>
            </w:r>
            <w:r w:rsidRPr="004547D4">
              <w:rPr>
                <w:rFonts w:cs="Times New Roman"/>
                <w:bCs/>
                <w:sz w:val="22"/>
                <w:szCs w:val="22"/>
              </w:rPr>
              <w:t xml:space="preserve"> kompetencji pilota bezzałogowych statków powietrznych</w:t>
            </w:r>
            <w:r>
              <w:rPr>
                <w:rFonts w:cs="Times New Roman"/>
                <w:bCs/>
                <w:sz w:val="22"/>
                <w:szCs w:val="22"/>
              </w:rPr>
              <w:t>. Do końca września 2021 r. zostało wydanych 12 263 takich certyfikatów</w:t>
            </w:r>
            <w:r w:rsidRPr="004547D4">
              <w:rPr>
                <w:rFonts w:cs="Times New Roman"/>
                <w:bCs/>
                <w:sz w:val="22"/>
                <w:szCs w:val="22"/>
              </w:rPr>
              <w:t>. Takie szkolenie, egzaminy oraz certyfikaty będą wymagane w przypadku wykonywania operacji w</w:t>
            </w:r>
            <w:r w:rsidR="00072270">
              <w:rPr>
                <w:rFonts w:cs="Times New Roman"/>
                <w:bCs/>
                <w:sz w:val="22"/>
                <w:szCs w:val="22"/>
              </w:rPr>
              <w:t> </w:t>
            </w:r>
            <w:r w:rsidRPr="004547D4">
              <w:rPr>
                <w:rFonts w:cs="Times New Roman"/>
                <w:bCs/>
                <w:sz w:val="22"/>
                <w:szCs w:val="22"/>
              </w:rPr>
              <w:t>kategorii „szczególnej” oraz w przypadku wykonywania operacji w podkategorii A2 kategorii „otwartej” – przewiduje się, że będą dotyczyć one przede wszystkim przedsiębiorców.</w:t>
            </w:r>
          </w:p>
          <w:p w14:paraId="0BDFBE26" w14:textId="7171D998" w:rsidR="007532AB" w:rsidRPr="004547D4" w:rsidRDefault="007532AB" w:rsidP="007532AB">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 xml:space="preserve">Budżet państwa zasili dochód z opłat lotniczych za czynności wykonywane przez Prezesa ULC i kar pobieranych w związku z wykonywaniem operacji przy użyciu systemów </w:t>
            </w:r>
            <w:r>
              <w:rPr>
                <w:rFonts w:cs="Times New Roman"/>
                <w:bCs/>
                <w:sz w:val="22"/>
                <w:szCs w:val="22"/>
              </w:rPr>
              <w:t>BSP</w:t>
            </w:r>
            <w:r w:rsidRPr="004547D4">
              <w:rPr>
                <w:rFonts w:cs="Times New Roman"/>
                <w:bCs/>
                <w:sz w:val="22"/>
                <w:szCs w:val="22"/>
              </w:rPr>
              <w:t>. Opłaty lotnicze (wysokość opłat lotniczych jest adekwatna do nakładu pracy związanej z wykonywaniem czynności administracyjnych i korzyści odnoszonych przez wnioskującego po uzyskaniu wnioskowanego uprawnienia, zatwierdzenia</w:t>
            </w:r>
            <w:r>
              <w:rPr>
                <w:rFonts w:cs="Times New Roman"/>
                <w:bCs/>
                <w:sz w:val="22"/>
                <w:szCs w:val="22"/>
              </w:rPr>
              <w:t>,</w:t>
            </w:r>
            <w:r w:rsidRPr="004547D4">
              <w:rPr>
                <w:rFonts w:cs="Times New Roman"/>
                <w:bCs/>
                <w:sz w:val="22"/>
                <w:szCs w:val="22"/>
              </w:rPr>
              <w:t xml:space="preserve"> itp).</w:t>
            </w:r>
          </w:p>
          <w:p w14:paraId="6454AB24" w14:textId="4AF1AF41" w:rsidR="007532AB" w:rsidRPr="004547D4" w:rsidRDefault="007532AB" w:rsidP="007532AB">
            <w:pPr>
              <w:widowControl/>
              <w:autoSpaceDE/>
              <w:autoSpaceDN/>
              <w:adjustRightInd/>
              <w:spacing w:before="120"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Wysokość dochodów ULC z tytułu opłat pobieranych na podstawie projektowanych prze</w:t>
            </w:r>
            <w:r>
              <w:rPr>
                <w:rFonts w:eastAsia="Calibri" w:cs="Times New Roman"/>
                <w:bCs/>
                <w:sz w:val="22"/>
                <w:szCs w:val="22"/>
                <w:lang w:eastAsia="en-US"/>
              </w:rPr>
              <w:t>pisów w poszczególnych latach (</w:t>
            </w:r>
            <w:r w:rsidRPr="004547D4">
              <w:rPr>
                <w:rFonts w:eastAsia="Calibri" w:cs="Times New Roman"/>
                <w:bCs/>
                <w:sz w:val="22"/>
                <w:szCs w:val="22"/>
                <w:lang w:eastAsia="en-US"/>
              </w:rPr>
              <w:t xml:space="preserve">z uwzględnieniem liczby podmiotów uprawnionych do występowania z wnioskami o zezwolenie i oświadczeniami, celem wykonania operacji w kategorii </w:t>
            </w:r>
            <w:r>
              <w:rPr>
                <w:rFonts w:eastAsia="Calibri" w:cs="Times New Roman"/>
                <w:bCs/>
                <w:sz w:val="22"/>
                <w:szCs w:val="22"/>
                <w:lang w:eastAsia="en-US"/>
              </w:rPr>
              <w:t>„</w:t>
            </w:r>
            <w:r w:rsidRPr="004547D4">
              <w:rPr>
                <w:rFonts w:eastAsia="Calibri" w:cs="Times New Roman"/>
                <w:bCs/>
                <w:sz w:val="22"/>
                <w:szCs w:val="22"/>
                <w:lang w:eastAsia="en-US"/>
              </w:rPr>
              <w:t>szczególnej</w:t>
            </w:r>
            <w:r>
              <w:rPr>
                <w:rFonts w:eastAsia="Calibri" w:cs="Times New Roman"/>
                <w:bCs/>
                <w:sz w:val="22"/>
                <w:szCs w:val="22"/>
                <w:lang w:eastAsia="en-US"/>
              </w:rPr>
              <w:t>”</w:t>
            </w:r>
            <w:r w:rsidRPr="004547D4">
              <w:rPr>
                <w:rFonts w:eastAsia="Calibri" w:cs="Times New Roman"/>
                <w:bCs/>
                <w:sz w:val="22"/>
                <w:szCs w:val="22"/>
                <w:lang w:eastAsia="en-US"/>
              </w:rPr>
              <w:t xml:space="preserve"> i </w:t>
            </w:r>
            <w:r>
              <w:rPr>
                <w:rFonts w:eastAsia="Calibri" w:cs="Times New Roman"/>
                <w:bCs/>
                <w:sz w:val="22"/>
                <w:szCs w:val="22"/>
                <w:lang w:eastAsia="en-US"/>
              </w:rPr>
              <w:t>„</w:t>
            </w:r>
            <w:r w:rsidRPr="004547D4">
              <w:rPr>
                <w:rFonts w:eastAsia="Calibri" w:cs="Times New Roman"/>
                <w:bCs/>
                <w:sz w:val="22"/>
                <w:szCs w:val="22"/>
                <w:lang w:eastAsia="en-US"/>
              </w:rPr>
              <w:t>certyfikowanej</w:t>
            </w:r>
            <w:r>
              <w:rPr>
                <w:rFonts w:eastAsia="Calibri" w:cs="Times New Roman"/>
                <w:bCs/>
                <w:sz w:val="22"/>
                <w:szCs w:val="22"/>
                <w:lang w:eastAsia="en-US"/>
              </w:rPr>
              <w:t>”</w:t>
            </w:r>
            <w:r w:rsidRPr="004547D4">
              <w:rPr>
                <w:rFonts w:eastAsia="Calibri" w:cs="Times New Roman"/>
                <w:bCs/>
                <w:sz w:val="22"/>
                <w:szCs w:val="22"/>
                <w:lang w:eastAsia="en-US"/>
              </w:rPr>
              <w:t xml:space="preserve"> oraz podmiotów obecnie świadczących usługę szkolenia i egzaminowania chętnych do uzyskania uprawnienia pilota BSP w poszczególnych rodzajach operacji) została skalkulowana przy następujących założeniach:</w:t>
            </w:r>
          </w:p>
          <w:p w14:paraId="0835DE93" w14:textId="501A7ED4" w:rsidR="007532AB" w:rsidRPr="004547D4" w:rsidRDefault="007532AB" w:rsidP="007532AB">
            <w:pPr>
              <w:pStyle w:val="Akapitzlist"/>
              <w:widowControl/>
              <w:numPr>
                <w:ilvl w:val="0"/>
                <w:numId w:val="5"/>
              </w:numPr>
              <w:autoSpaceDE/>
              <w:autoSpaceDN/>
              <w:adjustRightInd/>
              <w:spacing w:line="240" w:lineRule="auto"/>
              <w:ind w:left="520" w:hanging="284"/>
              <w:jc w:val="both"/>
              <w:rPr>
                <w:rFonts w:eastAsia="Calibri" w:cs="Times New Roman"/>
                <w:bCs/>
                <w:sz w:val="22"/>
                <w:szCs w:val="22"/>
                <w:lang w:eastAsia="en-US"/>
              </w:rPr>
            </w:pPr>
            <w:r w:rsidRPr="004547D4">
              <w:rPr>
                <w:rFonts w:eastAsia="Calibri" w:cs="Times New Roman"/>
                <w:bCs/>
                <w:sz w:val="22"/>
                <w:szCs w:val="22"/>
                <w:lang w:eastAsia="en-US"/>
              </w:rPr>
              <w:t xml:space="preserve">Operatorzy systemów </w:t>
            </w:r>
            <w:r>
              <w:rPr>
                <w:rFonts w:eastAsia="Calibri" w:cs="Times New Roman"/>
                <w:bCs/>
                <w:sz w:val="22"/>
                <w:szCs w:val="22"/>
                <w:lang w:eastAsia="en-US"/>
              </w:rPr>
              <w:t>BSP</w:t>
            </w:r>
            <w:r w:rsidRPr="004547D4">
              <w:rPr>
                <w:rFonts w:eastAsia="Calibri" w:cs="Times New Roman"/>
                <w:bCs/>
                <w:sz w:val="22"/>
                <w:szCs w:val="22"/>
                <w:lang w:eastAsia="en-US"/>
              </w:rPr>
              <w:t xml:space="preserve"> składający oświadczenia o wykonywaniu operacji w</w:t>
            </w:r>
            <w:r>
              <w:rPr>
                <w:rFonts w:eastAsia="Calibri" w:cs="Times New Roman"/>
                <w:bCs/>
                <w:sz w:val="22"/>
                <w:szCs w:val="22"/>
                <w:lang w:eastAsia="en-US"/>
              </w:rPr>
              <w:t> </w:t>
            </w:r>
            <w:r w:rsidRPr="004547D4">
              <w:rPr>
                <w:rFonts w:eastAsia="Calibri" w:cs="Times New Roman"/>
                <w:bCs/>
                <w:sz w:val="22"/>
                <w:szCs w:val="22"/>
                <w:lang w:eastAsia="en-US"/>
              </w:rPr>
              <w:t>kategorii „szczególnej”:</w:t>
            </w:r>
          </w:p>
          <w:p w14:paraId="5AF71354" w14:textId="096448B1" w:rsidR="007532AB" w:rsidRDefault="007532AB" w:rsidP="007532AB">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Pr>
                <w:rFonts w:eastAsia="Calibri" w:cs="Times New Roman"/>
                <w:bCs/>
                <w:sz w:val="22"/>
                <w:szCs w:val="22"/>
                <w:lang w:eastAsia="en-US"/>
              </w:rPr>
              <w:t>4</w:t>
            </w:r>
            <w:r w:rsidRPr="004547D4">
              <w:rPr>
                <w:rFonts w:eastAsia="Calibri" w:cs="Times New Roman"/>
                <w:bCs/>
                <w:sz w:val="22"/>
                <w:szCs w:val="22"/>
                <w:lang w:eastAsia="en-US"/>
              </w:rPr>
              <w:t xml:space="preserve">000 x 4 (od 1 do 9) nowych oświadczeń (50 zł) x 1 krajowy scenariusz standardowy </w:t>
            </w:r>
            <w:r>
              <w:rPr>
                <w:rFonts w:eastAsia="Calibri" w:cs="Times New Roman"/>
                <w:bCs/>
                <w:sz w:val="22"/>
                <w:szCs w:val="22"/>
                <w:lang w:eastAsia="en-US"/>
              </w:rPr>
              <w:t>(NSTS) w pierwszym roku</w:t>
            </w:r>
            <w:r w:rsidRPr="004547D4">
              <w:rPr>
                <w:rFonts w:eastAsia="Calibri" w:cs="Times New Roman"/>
                <w:bCs/>
                <w:sz w:val="22"/>
                <w:szCs w:val="22"/>
                <w:lang w:eastAsia="en-US"/>
              </w:rPr>
              <w:t>,</w:t>
            </w:r>
          </w:p>
          <w:p w14:paraId="6EAB7E1E" w14:textId="0C86A6BA" w:rsidR="007532AB" w:rsidRPr="004E7F31" w:rsidRDefault="007532AB" w:rsidP="007532AB">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sidRPr="004E7F31">
              <w:rPr>
                <w:rFonts w:eastAsia="Calibri" w:cs="Times New Roman"/>
                <w:bCs/>
                <w:sz w:val="22"/>
                <w:szCs w:val="22"/>
                <w:lang w:eastAsia="en-US"/>
              </w:rPr>
              <w:t>2000 x 4 (od 1 do 9) nowych oświadczeń (50 zł) x 1 krajowy scenariusz standardowy (NSTS) w drugim roku</w:t>
            </w:r>
            <w:r w:rsidR="005C2A79">
              <w:rPr>
                <w:rFonts w:eastAsia="Calibri" w:cs="Times New Roman"/>
                <w:bCs/>
                <w:sz w:val="22"/>
                <w:szCs w:val="22"/>
                <w:lang w:eastAsia="en-US"/>
              </w:rPr>
              <w:t>,</w:t>
            </w:r>
          </w:p>
          <w:p w14:paraId="47A0DC76" w14:textId="70D93743" w:rsidR="007532AB" w:rsidRPr="004547D4" w:rsidRDefault="007532AB" w:rsidP="007532AB">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Pr>
                <w:rFonts w:eastAsia="Calibri" w:cs="Times New Roman"/>
                <w:bCs/>
                <w:sz w:val="22"/>
                <w:szCs w:val="22"/>
                <w:lang w:eastAsia="en-US"/>
              </w:rPr>
              <w:t>4000</w:t>
            </w:r>
            <w:r w:rsidRPr="004547D4">
              <w:rPr>
                <w:rFonts w:eastAsia="Calibri" w:cs="Times New Roman"/>
                <w:bCs/>
                <w:sz w:val="22"/>
                <w:szCs w:val="22"/>
                <w:lang w:eastAsia="en-US"/>
              </w:rPr>
              <w:t xml:space="preserve"> x </w:t>
            </w:r>
            <w:r>
              <w:rPr>
                <w:rFonts w:eastAsia="Calibri" w:cs="Times New Roman"/>
                <w:bCs/>
                <w:sz w:val="22"/>
                <w:szCs w:val="22"/>
                <w:lang w:eastAsia="en-US"/>
              </w:rPr>
              <w:t>2</w:t>
            </w:r>
            <w:r w:rsidRPr="004547D4">
              <w:rPr>
                <w:rFonts w:eastAsia="Calibri" w:cs="Times New Roman"/>
                <w:bCs/>
                <w:sz w:val="22"/>
                <w:szCs w:val="22"/>
                <w:lang w:eastAsia="en-US"/>
              </w:rPr>
              <w:t xml:space="preserve"> nowe oświadczenie (50 zł) x 1 scenariusz standardowy uni</w:t>
            </w:r>
            <w:r>
              <w:rPr>
                <w:rFonts w:eastAsia="Calibri" w:cs="Times New Roman"/>
                <w:bCs/>
                <w:sz w:val="22"/>
                <w:szCs w:val="22"/>
                <w:lang w:eastAsia="en-US"/>
              </w:rPr>
              <w:t>jny (STS-01 lub STS-02) w trzecim roku,</w:t>
            </w:r>
            <w:r w:rsidRPr="004547D4">
              <w:rPr>
                <w:rFonts w:eastAsia="Calibri" w:cs="Times New Roman"/>
                <w:bCs/>
                <w:sz w:val="22"/>
                <w:szCs w:val="22"/>
                <w:lang w:eastAsia="en-US"/>
              </w:rPr>
              <w:t xml:space="preserve"> </w:t>
            </w:r>
          </w:p>
          <w:p w14:paraId="4DCDC18A" w14:textId="36BAD54D" w:rsidR="007532AB" w:rsidRPr="004547D4" w:rsidRDefault="007532AB" w:rsidP="007532AB">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sidRPr="004547D4">
              <w:rPr>
                <w:rFonts w:eastAsia="Calibri" w:cs="Times New Roman"/>
                <w:bCs/>
                <w:sz w:val="22"/>
                <w:szCs w:val="22"/>
                <w:lang w:eastAsia="en-US"/>
              </w:rPr>
              <w:t>20% wzrost w kolejnych latach</w:t>
            </w:r>
            <w:r>
              <w:rPr>
                <w:rFonts w:eastAsia="Calibri" w:cs="Times New Roman"/>
                <w:bCs/>
                <w:sz w:val="22"/>
                <w:szCs w:val="22"/>
                <w:lang w:eastAsia="en-US"/>
              </w:rPr>
              <w:t xml:space="preserve"> w zakresie scenariuszy standardowych unijnych (STS-01 lub STS-02)</w:t>
            </w:r>
            <w:r w:rsidRPr="004547D4">
              <w:rPr>
                <w:rFonts w:eastAsia="Calibri" w:cs="Times New Roman"/>
                <w:bCs/>
                <w:sz w:val="22"/>
                <w:szCs w:val="22"/>
                <w:lang w:eastAsia="en-US"/>
              </w:rPr>
              <w:t xml:space="preserve">. </w:t>
            </w:r>
          </w:p>
          <w:p w14:paraId="6986A7F7" w14:textId="2D67B9F0" w:rsidR="007532AB" w:rsidRPr="004547D4" w:rsidRDefault="007532AB" w:rsidP="007532AB">
            <w:pPr>
              <w:pStyle w:val="Akapitzlist"/>
              <w:widowControl/>
              <w:numPr>
                <w:ilvl w:val="0"/>
                <w:numId w:val="5"/>
              </w:numPr>
              <w:autoSpaceDE/>
              <w:autoSpaceDN/>
              <w:adjustRightInd/>
              <w:spacing w:line="240" w:lineRule="auto"/>
              <w:ind w:left="520" w:hanging="284"/>
              <w:jc w:val="both"/>
              <w:rPr>
                <w:rFonts w:eastAsia="Calibri" w:cs="Times New Roman"/>
                <w:bCs/>
                <w:sz w:val="22"/>
                <w:szCs w:val="22"/>
                <w:lang w:eastAsia="en-US"/>
              </w:rPr>
            </w:pPr>
            <w:r w:rsidRPr="004547D4">
              <w:rPr>
                <w:rFonts w:eastAsia="Calibri" w:cs="Times New Roman"/>
                <w:bCs/>
                <w:sz w:val="22"/>
                <w:szCs w:val="22"/>
                <w:lang w:eastAsia="en-US"/>
              </w:rPr>
              <w:t xml:space="preserve">Operatorzy systemów </w:t>
            </w:r>
            <w:r>
              <w:rPr>
                <w:rFonts w:eastAsia="Calibri" w:cs="Times New Roman"/>
                <w:bCs/>
                <w:sz w:val="22"/>
                <w:szCs w:val="22"/>
                <w:lang w:eastAsia="en-US"/>
              </w:rPr>
              <w:t>BSP</w:t>
            </w:r>
            <w:r w:rsidRPr="004547D4">
              <w:rPr>
                <w:rFonts w:eastAsia="Calibri" w:cs="Times New Roman"/>
                <w:bCs/>
                <w:sz w:val="22"/>
                <w:szCs w:val="22"/>
                <w:lang w:eastAsia="en-US"/>
              </w:rPr>
              <w:t xml:space="preserve"> składający wnioski o zezwolenia na operację w</w:t>
            </w:r>
            <w:r>
              <w:rPr>
                <w:rFonts w:eastAsia="Calibri" w:cs="Times New Roman"/>
                <w:bCs/>
                <w:sz w:val="22"/>
                <w:szCs w:val="22"/>
                <w:lang w:eastAsia="en-US"/>
              </w:rPr>
              <w:t> </w:t>
            </w:r>
            <w:r w:rsidRPr="004547D4">
              <w:rPr>
                <w:rFonts w:eastAsia="Calibri" w:cs="Times New Roman"/>
                <w:bCs/>
                <w:sz w:val="22"/>
                <w:szCs w:val="22"/>
                <w:lang w:eastAsia="en-US"/>
              </w:rPr>
              <w:t>kategorii „szczególnej”:</w:t>
            </w:r>
          </w:p>
          <w:p w14:paraId="6DE6B0F4" w14:textId="5FCFEF7B" w:rsidR="007532AB" w:rsidRPr="004547D4" w:rsidRDefault="007532AB" w:rsidP="007532AB">
            <w:pPr>
              <w:widowControl/>
              <w:numPr>
                <w:ilvl w:val="0"/>
                <w:numId w:val="6"/>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120 x 1 nowy wniosek (</w:t>
            </w:r>
            <w:r>
              <w:rPr>
                <w:rFonts w:eastAsia="Calibri" w:cs="Times New Roman"/>
                <w:bCs/>
                <w:sz w:val="22"/>
                <w:szCs w:val="22"/>
                <w:lang w:eastAsia="en-US"/>
              </w:rPr>
              <w:t>5</w:t>
            </w:r>
            <w:r w:rsidRPr="004547D4">
              <w:rPr>
                <w:rFonts w:eastAsia="Calibri" w:cs="Times New Roman"/>
                <w:bCs/>
                <w:sz w:val="22"/>
                <w:szCs w:val="22"/>
                <w:lang w:eastAsia="en-US"/>
              </w:rPr>
              <w:t>00 zł) x 1 operacja BSP</w:t>
            </w:r>
            <w:r>
              <w:rPr>
                <w:rFonts w:eastAsia="Calibri" w:cs="Times New Roman"/>
                <w:bCs/>
                <w:sz w:val="22"/>
                <w:szCs w:val="22"/>
                <w:lang w:eastAsia="en-US"/>
              </w:rPr>
              <w:t xml:space="preserve"> wykonywana pojedynczym BSP</w:t>
            </w:r>
            <w:r w:rsidRPr="004547D4">
              <w:rPr>
                <w:rFonts w:eastAsia="Calibri" w:cs="Times New Roman"/>
                <w:bCs/>
                <w:sz w:val="22"/>
                <w:szCs w:val="22"/>
                <w:lang w:eastAsia="en-US"/>
              </w:rPr>
              <w:t xml:space="preserve"> w pierwszym roku,</w:t>
            </w:r>
          </w:p>
          <w:p w14:paraId="1B3783EA" w14:textId="5C2A80CB" w:rsidR="007532AB" w:rsidRDefault="007532AB" w:rsidP="007532AB">
            <w:pPr>
              <w:widowControl/>
              <w:numPr>
                <w:ilvl w:val="0"/>
                <w:numId w:val="6"/>
              </w:numPr>
              <w:autoSpaceDE/>
              <w:autoSpaceDN/>
              <w:adjustRightInd/>
              <w:spacing w:line="240" w:lineRule="auto"/>
              <w:ind w:left="797" w:hanging="284"/>
              <w:jc w:val="both"/>
              <w:rPr>
                <w:rFonts w:eastAsia="Calibri" w:cs="Times New Roman"/>
                <w:bCs/>
                <w:sz w:val="22"/>
                <w:szCs w:val="22"/>
                <w:lang w:eastAsia="en-US"/>
              </w:rPr>
            </w:pPr>
            <w:r>
              <w:rPr>
                <w:rFonts w:eastAsia="Calibri" w:cs="Times New Roman"/>
                <w:bCs/>
                <w:sz w:val="22"/>
                <w:szCs w:val="22"/>
                <w:lang w:eastAsia="en-US"/>
              </w:rPr>
              <w:t>10</w:t>
            </w:r>
            <w:r w:rsidRPr="004547D4">
              <w:rPr>
                <w:rFonts w:eastAsia="Calibri" w:cs="Times New Roman"/>
                <w:bCs/>
                <w:sz w:val="22"/>
                <w:szCs w:val="22"/>
                <w:lang w:eastAsia="en-US"/>
              </w:rPr>
              <w:t xml:space="preserve"> x 1 nowy wniosek (</w:t>
            </w:r>
            <w:r>
              <w:rPr>
                <w:rFonts w:eastAsia="Calibri" w:cs="Times New Roman"/>
                <w:bCs/>
                <w:sz w:val="22"/>
                <w:szCs w:val="22"/>
                <w:lang w:eastAsia="en-US"/>
              </w:rPr>
              <w:t>10</w:t>
            </w:r>
            <w:r w:rsidRPr="004547D4">
              <w:rPr>
                <w:rFonts w:eastAsia="Calibri" w:cs="Times New Roman"/>
                <w:bCs/>
                <w:sz w:val="22"/>
                <w:szCs w:val="22"/>
                <w:lang w:eastAsia="en-US"/>
              </w:rPr>
              <w:t>00 zł) x 1 operacje BSP</w:t>
            </w:r>
            <w:r>
              <w:rPr>
                <w:rFonts w:eastAsia="Calibri" w:cs="Times New Roman"/>
                <w:bCs/>
                <w:sz w:val="22"/>
                <w:szCs w:val="22"/>
                <w:lang w:eastAsia="en-US"/>
              </w:rPr>
              <w:t xml:space="preserve"> dot. tzw. „roju dronów”</w:t>
            </w:r>
            <w:r w:rsidRPr="004547D4">
              <w:rPr>
                <w:rFonts w:eastAsia="Calibri" w:cs="Times New Roman"/>
                <w:bCs/>
                <w:sz w:val="22"/>
                <w:szCs w:val="22"/>
                <w:lang w:eastAsia="en-US"/>
              </w:rPr>
              <w:t xml:space="preserve"> w</w:t>
            </w:r>
            <w:r>
              <w:rPr>
                <w:rFonts w:eastAsia="Calibri" w:cs="Times New Roman"/>
                <w:bCs/>
                <w:sz w:val="22"/>
                <w:szCs w:val="22"/>
                <w:lang w:eastAsia="en-US"/>
              </w:rPr>
              <w:t> </w:t>
            </w:r>
            <w:r w:rsidRPr="004547D4">
              <w:rPr>
                <w:rFonts w:eastAsia="Calibri" w:cs="Times New Roman"/>
                <w:bCs/>
                <w:sz w:val="22"/>
                <w:szCs w:val="22"/>
                <w:lang w:eastAsia="en-US"/>
              </w:rPr>
              <w:t>pierwszym roku,</w:t>
            </w:r>
          </w:p>
          <w:p w14:paraId="7F34955C" w14:textId="32E8CEFF" w:rsidR="007532AB" w:rsidRPr="004E7F31" w:rsidRDefault="007532AB" w:rsidP="007532AB">
            <w:pPr>
              <w:widowControl/>
              <w:numPr>
                <w:ilvl w:val="0"/>
                <w:numId w:val="6"/>
              </w:numPr>
              <w:autoSpaceDE/>
              <w:autoSpaceDN/>
              <w:adjustRightInd/>
              <w:spacing w:line="240" w:lineRule="auto"/>
              <w:ind w:left="797" w:hanging="284"/>
              <w:jc w:val="both"/>
              <w:rPr>
                <w:rFonts w:eastAsia="Calibri" w:cs="Times New Roman"/>
                <w:bCs/>
                <w:sz w:val="22"/>
                <w:szCs w:val="22"/>
                <w:lang w:eastAsia="en-US"/>
              </w:rPr>
            </w:pPr>
            <w:r w:rsidRPr="004E7F31">
              <w:rPr>
                <w:rFonts w:eastAsia="Calibri" w:cs="Times New Roman"/>
                <w:bCs/>
                <w:sz w:val="22"/>
                <w:szCs w:val="22"/>
                <w:lang w:eastAsia="en-US"/>
              </w:rPr>
              <w:t>100</w:t>
            </w:r>
            <w:r>
              <w:t xml:space="preserve"> </w:t>
            </w:r>
            <w:r w:rsidRPr="004E7F31">
              <w:rPr>
                <w:rFonts w:eastAsia="Calibri" w:cs="Times New Roman"/>
                <w:bCs/>
                <w:sz w:val="22"/>
                <w:szCs w:val="22"/>
                <w:lang w:eastAsia="en-US"/>
              </w:rPr>
              <w:t>x 1 nowy wniosek (500 zł) x 1 operacja BSP wykonywana pojedynczym BSP w drugim roku,</w:t>
            </w:r>
          </w:p>
          <w:p w14:paraId="0C2F579E" w14:textId="63426DD4" w:rsidR="007532AB" w:rsidRPr="004E7F31" w:rsidRDefault="007532AB" w:rsidP="007532AB">
            <w:pPr>
              <w:widowControl/>
              <w:numPr>
                <w:ilvl w:val="0"/>
                <w:numId w:val="6"/>
              </w:numPr>
              <w:autoSpaceDE/>
              <w:autoSpaceDN/>
              <w:adjustRightInd/>
              <w:spacing w:line="240" w:lineRule="auto"/>
              <w:ind w:left="797" w:hanging="284"/>
              <w:jc w:val="both"/>
              <w:rPr>
                <w:rFonts w:eastAsia="Calibri" w:cs="Times New Roman"/>
                <w:bCs/>
                <w:sz w:val="22"/>
                <w:szCs w:val="22"/>
                <w:lang w:eastAsia="en-US"/>
              </w:rPr>
            </w:pPr>
            <w:r w:rsidRPr="004E7F31">
              <w:rPr>
                <w:rFonts w:eastAsia="Calibri" w:cs="Times New Roman"/>
                <w:bCs/>
                <w:sz w:val="22"/>
                <w:szCs w:val="22"/>
                <w:lang w:eastAsia="en-US"/>
              </w:rPr>
              <w:t>5</w:t>
            </w:r>
            <w:r>
              <w:t xml:space="preserve"> </w:t>
            </w:r>
            <w:r w:rsidRPr="004E7F31">
              <w:rPr>
                <w:rFonts w:eastAsia="Calibri" w:cs="Times New Roman"/>
                <w:bCs/>
                <w:sz w:val="22"/>
                <w:szCs w:val="22"/>
                <w:lang w:eastAsia="en-US"/>
              </w:rPr>
              <w:t>x 1 nowy wniosek (1000 zł) x 1 operacje BSP dot. tzw. „roju dronów” w</w:t>
            </w:r>
            <w:r>
              <w:rPr>
                <w:rFonts w:eastAsia="Calibri" w:cs="Times New Roman"/>
                <w:bCs/>
                <w:sz w:val="22"/>
                <w:szCs w:val="22"/>
                <w:lang w:eastAsia="en-US"/>
              </w:rPr>
              <w:t> </w:t>
            </w:r>
            <w:r w:rsidRPr="004E7F31">
              <w:rPr>
                <w:rFonts w:eastAsia="Calibri" w:cs="Times New Roman"/>
                <w:bCs/>
                <w:sz w:val="22"/>
                <w:szCs w:val="22"/>
                <w:lang w:eastAsia="en-US"/>
              </w:rPr>
              <w:t>drugim roku i kolejnych latach,</w:t>
            </w:r>
          </w:p>
          <w:p w14:paraId="461F7501" w14:textId="31B9E983" w:rsidR="007532AB" w:rsidRPr="004547D4" w:rsidRDefault="007532AB" w:rsidP="007532AB">
            <w:pPr>
              <w:widowControl/>
              <w:numPr>
                <w:ilvl w:val="0"/>
                <w:numId w:val="6"/>
              </w:numPr>
              <w:autoSpaceDE/>
              <w:autoSpaceDN/>
              <w:adjustRightInd/>
              <w:spacing w:line="240" w:lineRule="auto"/>
              <w:ind w:left="803" w:hanging="283"/>
              <w:jc w:val="both"/>
              <w:rPr>
                <w:rFonts w:eastAsia="Calibri" w:cs="Times New Roman"/>
                <w:bCs/>
                <w:sz w:val="22"/>
                <w:szCs w:val="22"/>
                <w:lang w:eastAsia="en-US"/>
              </w:rPr>
            </w:pPr>
            <w:r w:rsidRPr="004547D4">
              <w:rPr>
                <w:rFonts w:eastAsia="Calibri" w:cs="Times New Roman"/>
                <w:bCs/>
                <w:sz w:val="22"/>
                <w:szCs w:val="22"/>
                <w:lang w:eastAsia="en-US"/>
              </w:rPr>
              <w:t>30% wzrost w kolejnych latach</w:t>
            </w:r>
            <w:r>
              <w:rPr>
                <w:rFonts w:eastAsia="Calibri" w:cs="Times New Roman"/>
                <w:bCs/>
                <w:sz w:val="22"/>
                <w:szCs w:val="22"/>
                <w:lang w:eastAsia="en-US"/>
              </w:rPr>
              <w:t xml:space="preserve"> w zakresie zezwoleń, o których mowa w pkt 1</w:t>
            </w:r>
            <w:r w:rsidRPr="004547D4">
              <w:rPr>
                <w:rFonts w:eastAsia="Calibri" w:cs="Times New Roman"/>
                <w:bCs/>
                <w:sz w:val="22"/>
                <w:szCs w:val="22"/>
                <w:lang w:eastAsia="en-US"/>
              </w:rPr>
              <w:t>.</w:t>
            </w:r>
          </w:p>
          <w:p w14:paraId="4B401ABA" w14:textId="574F4422" w:rsidR="007532AB" w:rsidRPr="004547D4" w:rsidRDefault="007532AB" w:rsidP="007532AB">
            <w:pPr>
              <w:pStyle w:val="Akapitzlist"/>
              <w:widowControl/>
              <w:numPr>
                <w:ilvl w:val="0"/>
                <w:numId w:val="5"/>
              </w:numPr>
              <w:autoSpaceDE/>
              <w:autoSpaceDN/>
              <w:adjustRightInd/>
              <w:spacing w:line="240" w:lineRule="auto"/>
              <w:ind w:left="655"/>
              <w:jc w:val="both"/>
              <w:rPr>
                <w:rFonts w:eastAsia="Calibri" w:cs="Times New Roman"/>
                <w:bCs/>
                <w:sz w:val="22"/>
                <w:szCs w:val="22"/>
                <w:lang w:eastAsia="en-US"/>
              </w:rPr>
            </w:pPr>
            <w:r w:rsidRPr="004547D4">
              <w:rPr>
                <w:rFonts w:eastAsia="Calibri" w:cs="Times New Roman"/>
                <w:bCs/>
                <w:sz w:val="22"/>
                <w:szCs w:val="22"/>
                <w:lang w:eastAsia="en-US"/>
              </w:rPr>
              <w:t xml:space="preserve">Operatorzy systemów </w:t>
            </w:r>
            <w:r>
              <w:rPr>
                <w:rFonts w:eastAsia="Calibri" w:cs="Times New Roman"/>
                <w:bCs/>
                <w:sz w:val="22"/>
                <w:szCs w:val="22"/>
                <w:lang w:eastAsia="en-US"/>
              </w:rPr>
              <w:t>BSP</w:t>
            </w:r>
            <w:r w:rsidRPr="004547D4">
              <w:rPr>
                <w:rFonts w:eastAsia="Calibri" w:cs="Times New Roman"/>
                <w:bCs/>
                <w:sz w:val="22"/>
                <w:szCs w:val="22"/>
                <w:lang w:eastAsia="en-US"/>
              </w:rPr>
              <w:t xml:space="preserve"> składający wnioski o certyfikat LUC:</w:t>
            </w:r>
          </w:p>
          <w:p w14:paraId="5560730E" w14:textId="2859CE5A" w:rsidR="007532AB" w:rsidRPr="004547D4" w:rsidRDefault="007532AB" w:rsidP="007532AB">
            <w:pPr>
              <w:pStyle w:val="Akapitzlist"/>
              <w:widowControl/>
              <w:numPr>
                <w:ilvl w:val="0"/>
                <w:numId w:val="8"/>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3 x 1 nowy wniosek (</w:t>
            </w:r>
            <w:r>
              <w:rPr>
                <w:rFonts w:eastAsia="Calibri" w:cs="Times New Roman"/>
                <w:bCs/>
                <w:sz w:val="22"/>
                <w:szCs w:val="22"/>
                <w:lang w:eastAsia="en-US"/>
              </w:rPr>
              <w:t>75</w:t>
            </w:r>
            <w:r w:rsidRPr="004547D4">
              <w:rPr>
                <w:rFonts w:eastAsia="Calibri" w:cs="Times New Roman"/>
                <w:bCs/>
                <w:sz w:val="22"/>
                <w:szCs w:val="22"/>
                <w:lang w:eastAsia="en-US"/>
              </w:rPr>
              <w:t>00</w:t>
            </w:r>
            <w:r>
              <w:rPr>
                <w:rFonts w:eastAsia="Calibri" w:cs="Times New Roman"/>
                <w:bCs/>
                <w:sz w:val="22"/>
                <w:szCs w:val="22"/>
                <w:lang w:eastAsia="en-US"/>
              </w:rPr>
              <w:t xml:space="preserve"> - 8500</w:t>
            </w:r>
            <w:r w:rsidRPr="004547D4">
              <w:rPr>
                <w:rFonts w:eastAsia="Calibri" w:cs="Times New Roman"/>
                <w:bCs/>
                <w:sz w:val="22"/>
                <w:szCs w:val="22"/>
                <w:lang w:eastAsia="en-US"/>
              </w:rPr>
              <w:t xml:space="preserve"> zł) w pierwszym roku</w:t>
            </w:r>
            <w:r>
              <w:rPr>
                <w:rFonts w:eastAsia="Calibri" w:cs="Times New Roman"/>
                <w:bCs/>
                <w:sz w:val="22"/>
                <w:szCs w:val="22"/>
                <w:lang w:eastAsia="en-US"/>
              </w:rPr>
              <w:t>,</w:t>
            </w:r>
          </w:p>
          <w:p w14:paraId="6E03F25E" w14:textId="060763E0" w:rsidR="007532AB" w:rsidRPr="004547D4" w:rsidRDefault="007532AB" w:rsidP="007532AB">
            <w:pPr>
              <w:pStyle w:val="Akapitzlist"/>
              <w:widowControl/>
              <w:numPr>
                <w:ilvl w:val="0"/>
                <w:numId w:val="8"/>
              </w:numPr>
              <w:autoSpaceDE/>
              <w:autoSpaceDN/>
              <w:adjustRightInd/>
              <w:spacing w:line="240" w:lineRule="auto"/>
              <w:jc w:val="both"/>
              <w:rPr>
                <w:rFonts w:eastAsia="Calibri" w:cs="Times New Roman"/>
                <w:bCs/>
                <w:sz w:val="22"/>
                <w:szCs w:val="22"/>
                <w:lang w:eastAsia="en-US"/>
              </w:rPr>
            </w:pPr>
            <w:r w:rsidRPr="004547D4">
              <w:rPr>
                <w:rFonts w:eastAsia="Calibri" w:cs="Times New Roman"/>
                <w:bCs/>
                <w:sz w:val="22"/>
                <w:szCs w:val="22"/>
                <w:lang w:eastAsia="en-US"/>
              </w:rPr>
              <w:t>2 x 1 nowy wniosek (</w:t>
            </w:r>
            <w:r w:rsidRPr="00120150">
              <w:rPr>
                <w:rFonts w:eastAsia="Calibri" w:cs="Times New Roman"/>
                <w:bCs/>
                <w:sz w:val="22"/>
                <w:szCs w:val="22"/>
                <w:lang w:eastAsia="en-US"/>
              </w:rPr>
              <w:t xml:space="preserve">7500 - 8500 </w:t>
            </w:r>
            <w:r w:rsidRPr="004547D4">
              <w:rPr>
                <w:rFonts w:eastAsia="Calibri" w:cs="Times New Roman"/>
                <w:bCs/>
                <w:sz w:val="22"/>
                <w:szCs w:val="22"/>
                <w:lang w:eastAsia="en-US"/>
              </w:rPr>
              <w:t xml:space="preserve"> zł) w drugim roku</w:t>
            </w:r>
            <w:r>
              <w:rPr>
                <w:rFonts w:eastAsia="Calibri" w:cs="Times New Roman"/>
                <w:bCs/>
                <w:sz w:val="22"/>
                <w:szCs w:val="22"/>
                <w:lang w:eastAsia="en-US"/>
              </w:rPr>
              <w:t xml:space="preserve"> i kolejnych latach.</w:t>
            </w:r>
          </w:p>
          <w:p w14:paraId="7065B39C" w14:textId="378C9413" w:rsidR="007532AB" w:rsidRPr="00423295" w:rsidRDefault="007532AB" w:rsidP="007532AB">
            <w:pPr>
              <w:pStyle w:val="Akapitzlist"/>
              <w:widowControl/>
              <w:numPr>
                <w:ilvl w:val="0"/>
                <w:numId w:val="5"/>
              </w:numPr>
              <w:autoSpaceDE/>
              <w:autoSpaceDN/>
              <w:adjustRightInd/>
              <w:spacing w:line="240" w:lineRule="auto"/>
              <w:ind w:left="520" w:hanging="284"/>
              <w:jc w:val="both"/>
              <w:rPr>
                <w:rFonts w:eastAsia="Calibri" w:cs="Times New Roman"/>
                <w:bCs/>
                <w:sz w:val="22"/>
                <w:szCs w:val="22"/>
                <w:lang w:eastAsia="en-US"/>
              </w:rPr>
            </w:pPr>
            <w:r w:rsidRPr="00F85CB9">
              <w:rPr>
                <w:rFonts w:eastAsia="Calibri" w:cs="Times New Roman"/>
                <w:bCs/>
                <w:sz w:val="22"/>
                <w:szCs w:val="22"/>
                <w:lang w:eastAsia="en-US"/>
              </w:rPr>
              <w:t xml:space="preserve">Wyznaczane podmioty </w:t>
            </w:r>
            <w:r w:rsidRPr="00647C3F">
              <w:rPr>
                <w:rFonts w:eastAsia="Calibri" w:cs="Times New Roman"/>
                <w:bCs/>
                <w:sz w:val="22"/>
                <w:szCs w:val="22"/>
                <w:lang w:eastAsia="en-US"/>
              </w:rPr>
              <w:t xml:space="preserve">albo uznawane podmioty lub operatorzy szkolący uprawnione do przeprowadzania szkoleń, egzaminów i wydawania potwierdzeń </w:t>
            </w:r>
            <w:r w:rsidRPr="00423295">
              <w:rPr>
                <w:rFonts w:eastAsia="Calibri" w:cs="Times New Roman"/>
                <w:bCs/>
                <w:sz w:val="22"/>
                <w:szCs w:val="22"/>
                <w:lang w:eastAsia="en-US"/>
              </w:rPr>
              <w:t>uprawnień dla pilotów BSP do wykonywania operacji w podkategorii A2 kategorii „otwarte” i kategorii „szczególnej”:</w:t>
            </w:r>
          </w:p>
          <w:p w14:paraId="02D30525" w14:textId="5FEF5692" w:rsidR="007532AB" w:rsidRDefault="007532AB" w:rsidP="007532AB">
            <w:pPr>
              <w:widowControl/>
              <w:numPr>
                <w:ilvl w:val="0"/>
                <w:numId w:val="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30</w:t>
            </w:r>
            <w:r>
              <w:t xml:space="preserve"> </w:t>
            </w:r>
            <w:r w:rsidRPr="0069028E">
              <w:rPr>
                <w:rFonts w:eastAsia="Calibri" w:cs="Times New Roman"/>
                <w:bCs/>
                <w:sz w:val="22"/>
                <w:szCs w:val="22"/>
                <w:lang w:eastAsia="en-US"/>
              </w:rPr>
              <w:t xml:space="preserve">x 1 nowy wniosek (600 zł) x </w:t>
            </w:r>
            <w:r>
              <w:rPr>
                <w:rFonts w:eastAsia="Calibri" w:cs="Times New Roman"/>
                <w:bCs/>
                <w:sz w:val="22"/>
                <w:szCs w:val="22"/>
                <w:lang w:eastAsia="en-US"/>
              </w:rPr>
              <w:t>1 wyznaczenie do dodatkowego egzaminu A2</w:t>
            </w:r>
            <w:r w:rsidRPr="0069028E">
              <w:rPr>
                <w:rFonts w:eastAsia="Calibri" w:cs="Times New Roman"/>
                <w:bCs/>
                <w:sz w:val="22"/>
                <w:szCs w:val="22"/>
                <w:lang w:eastAsia="en-US"/>
              </w:rPr>
              <w:t xml:space="preserve"> w pierwszym roku</w:t>
            </w:r>
            <w:r>
              <w:rPr>
                <w:rFonts w:eastAsia="Calibri" w:cs="Times New Roman"/>
                <w:bCs/>
                <w:sz w:val="22"/>
                <w:szCs w:val="22"/>
                <w:lang w:eastAsia="en-US"/>
              </w:rPr>
              <w:t>,</w:t>
            </w:r>
          </w:p>
          <w:p w14:paraId="7BD905EA" w14:textId="628D5B0D" w:rsidR="007532AB" w:rsidRDefault="007532AB" w:rsidP="007532AB">
            <w:pPr>
              <w:widowControl/>
              <w:numPr>
                <w:ilvl w:val="0"/>
                <w:numId w:val="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35</w:t>
            </w:r>
            <w:r>
              <w:t xml:space="preserve"> </w:t>
            </w:r>
            <w:r w:rsidRPr="0069028E">
              <w:rPr>
                <w:rFonts w:eastAsia="Calibri" w:cs="Times New Roman"/>
                <w:bCs/>
                <w:sz w:val="22"/>
                <w:szCs w:val="22"/>
                <w:lang w:eastAsia="en-US"/>
              </w:rPr>
              <w:t>x 1 nowy wniosek (600 zł) x 1 wyznaczenie do dodatkowego egzaminu A2</w:t>
            </w:r>
            <w:r>
              <w:rPr>
                <w:rFonts w:eastAsia="Calibri" w:cs="Times New Roman"/>
                <w:bCs/>
                <w:sz w:val="22"/>
                <w:szCs w:val="22"/>
                <w:lang w:eastAsia="en-US"/>
              </w:rPr>
              <w:t xml:space="preserve"> w drugim roku,</w:t>
            </w:r>
          </w:p>
          <w:p w14:paraId="08A869AD" w14:textId="5843F409" w:rsidR="007532AB" w:rsidRPr="004547D4" w:rsidRDefault="007532AB" w:rsidP="007532AB">
            <w:pPr>
              <w:widowControl/>
              <w:numPr>
                <w:ilvl w:val="0"/>
                <w:numId w:val="7"/>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 xml:space="preserve">70 x 1 nowy wniosek (600 zł) x 4 </w:t>
            </w:r>
            <w:r>
              <w:rPr>
                <w:rFonts w:eastAsia="Calibri" w:cs="Times New Roman"/>
                <w:bCs/>
                <w:sz w:val="22"/>
                <w:szCs w:val="22"/>
                <w:lang w:eastAsia="en-US"/>
              </w:rPr>
              <w:t>krajowe scenariusze standardowe</w:t>
            </w:r>
            <w:r w:rsidRPr="004547D4">
              <w:rPr>
                <w:rFonts w:eastAsia="Calibri" w:cs="Times New Roman"/>
                <w:bCs/>
                <w:sz w:val="22"/>
                <w:szCs w:val="22"/>
                <w:lang w:eastAsia="en-US"/>
              </w:rPr>
              <w:t xml:space="preserve"> w</w:t>
            </w:r>
            <w:r>
              <w:rPr>
                <w:rFonts w:eastAsia="Calibri" w:cs="Times New Roman"/>
                <w:bCs/>
                <w:sz w:val="22"/>
                <w:szCs w:val="22"/>
                <w:lang w:eastAsia="en-US"/>
              </w:rPr>
              <w:t> </w:t>
            </w:r>
            <w:r w:rsidRPr="004547D4">
              <w:rPr>
                <w:rFonts w:eastAsia="Calibri" w:cs="Times New Roman"/>
                <w:bCs/>
                <w:sz w:val="22"/>
                <w:szCs w:val="22"/>
                <w:lang w:eastAsia="en-US"/>
              </w:rPr>
              <w:t xml:space="preserve">pierwszym </w:t>
            </w:r>
            <w:r>
              <w:rPr>
                <w:rFonts w:eastAsia="Calibri" w:cs="Times New Roman"/>
                <w:bCs/>
                <w:sz w:val="22"/>
                <w:szCs w:val="22"/>
                <w:lang w:eastAsia="en-US"/>
              </w:rPr>
              <w:t xml:space="preserve"> i drugim </w:t>
            </w:r>
            <w:r w:rsidRPr="004547D4">
              <w:rPr>
                <w:rFonts w:eastAsia="Calibri" w:cs="Times New Roman"/>
                <w:bCs/>
                <w:sz w:val="22"/>
                <w:szCs w:val="22"/>
                <w:lang w:eastAsia="en-US"/>
              </w:rPr>
              <w:t>roku</w:t>
            </w:r>
            <w:r>
              <w:rPr>
                <w:rFonts w:eastAsia="Calibri" w:cs="Times New Roman"/>
                <w:bCs/>
                <w:sz w:val="22"/>
                <w:szCs w:val="22"/>
                <w:lang w:eastAsia="en-US"/>
              </w:rPr>
              <w:t>,</w:t>
            </w:r>
            <w:r w:rsidRPr="004547D4">
              <w:rPr>
                <w:rFonts w:eastAsia="Calibri" w:cs="Times New Roman"/>
                <w:bCs/>
                <w:sz w:val="22"/>
                <w:szCs w:val="22"/>
                <w:lang w:eastAsia="en-US"/>
              </w:rPr>
              <w:t xml:space="preserve"> </w:t>
            </w:r>
          </w:p>
          <w:p w14:paraId="6DAC31BB" w14:textId="3726180E" w:rsidR="007532AB" w:rsidRPr="004547D4" w:rsidRDefault="007532AB" w:rsidP="007532AB">
            <w:pPr>
              <w:widowControl/>
              <w:numPr>
                <w:ilvl w:val="0"/>
                <w:numId w:val="7"/>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70 x 1 nowy wniosek (600 zł) na scenari</w:t>
            </w:r>
            <w:r>
              <w:rPr>
                <w:rFonts w:eastAsia="Calibri" w:cs="Times New Roman"/>
                <w:bCs/>
                <w:sz w:val="22"/>
                <w:szCs w:val="22"/>
                <w:lang w:eastAsia="en-US"/>
              </w:rPr>
              <w:t>usz standardowy unijny (STS-01)</w:t>
            </w:r>
            <w:r w:rsidRPr="004547D4">
              <w:rPr>
                <w:rFonts w:eastAsia="Calibri" w:cs="Times New Roman"/>
                <w:bCs/>
                <w:sz w:val="22"/>
                <w:szCs w:val="22"/>
                <w:lang w:eastAsia="en-US"/>
              </w:rPr>
              <w:t xml:space="preserve"> w</w:t>
            </w:r>
            <w:r>
              <w:rPr>
                <w:rFonts w:eastAsia="Calibri" w:cs="Times New Roman"/>
                <w:bCs/>
                <w:sz w:val="22"/>
                <w:szCs w:val="22"/>
                <w:lang w:eastAsia="en-US"/>
              </w:rPr>
              <w:t> trzecim</w:t>
            </w:r>
            <w:r w:rsidRPr="004547D4">
              <w:rPr>
                <w:rFonts w:eastAsia="Calibri" w:cs="Times New Roman"/>
                <w:bCs/>
                <w:sz w:val="22"/>
                <w:szCs w:val="22"/>
                <w:lang w:eastAsia="en-US"/>
              </w:rPr>
              <w:t xml:space="preserve"> roku</w:t>
            </w:r>
            <w:r>
              <w:rPr>
                <w:rFonts w:eastAsia="Calibri" w:cs="Times New Roman"/>
                <w:bCs/>
                <w:sz w:val="22"/>
                <w:szCs w:val="22"/>
                <w:lang w:eastAsia="en-US"/>
              </w:rPr>
              <w:t xml:space="preserve"> i kolejnych latach</w:t>
            </w:r>
            <w:r w:rsidRPr="004547D4">
              <w:rPr>
                <w:rFonts w:eastAsia="Calibri" w:cs="Times New Roman"/>
                <w:bCs/>
                <w:sz w:val="22"/>
                <w:szCs w:val="22"/>
                <w:lang w:eastAsia="en-US"/>
              </w:rPr>
              <w:t>,</w:t>
            </w:r>
          </w:p>
          <w:p w14:paraId="46BA33B7" w14:textId="7F2B4071" w:rsidR="007532AB" w:rsidRPr="004547D4" w:rsidRDefault="007532AB" w:rsidP="007532AB">
            <w:pPr>
              <w:widowControl/>
              <w:numPr>
                <w:ilvl w:val="0"/>
                <w:numId w:val="7"/>
              </w:numPr>
              <w:autoSpaceDE/>
              <w:autoSpaceDN/>
              <w:adjustRightInd/>
              <w:spacing w:line="240" w:lineRule="auto"/>
              <w:jc w:val="both"/>
              <w:rPr>
                <w:rFonts w:eastAsia="Calibri" w:cs="Times New Roman"/>
                <w:bCs/>
                <w:sz w:val="22"/>
                <w:szCs w:val="22"/>
                <w:lang w:eastAsia="en-US"/>
              </w:rPr>
            </w:pPr>
            <w:r w:rsidRPr="004547D4">
              <w:rPr>
                <w:rFonts w:eastAsia="Calibri" w:cs="Times New Roman"/>
                <w:bCs/>
                <w:sz w:val="22"/>
                <w:szCs w:val="22"/>
                <w:lang w:eastAsia="en-US"/>
              </w:rPr>
              <w:t>50 x 1 nowy wniosek (600 zł) na scenari</w:t>
            </w:r>
            <w:r>
              <w:rPr>
                <w:rFonts w:eastAsia="Calibri" w:cs="Times New Roman"/>
                <w:bCs/>
                <w:sz w:val="22"/>
                <w:szCs w:val="22"/>
                <w:lang w:eastAsia="en-US"/>
              </w:rPr>
              <w:t>usz standardowy unijny (STS-02)</w:t>
            </w:r>
            <w:r w:rsidRPr="004547D4">
              <w:rPr>
                <w:rFonts w:eastAsia="Calibri" w:cs="Times New Roman"/>
                <w:bCs/>
                <w:sz w:val="22"/>
                <w:szCs w:val="22"/>
                <w:lang w:eastAsia="en-US"/>
              </w:rPr>
              <w:t xml:space="preserve"> w</w:t>
            </w:r>
            <w:r>
              <w:rPr>
                <w:rFonts w:eastAsia="Calibri" w:cs="Times New Roman"/>
                <w:bCs/>
                <w:sz w:val="22"/>
                <w:szCs w:val="22"/>
                <w:lang w:eastAsia="en-US"/>
              </w:rPr>
              <w:t> trzecim</w:t>
            </w:r>
            <w:r w:rsidRPr="004547D4">
              <w:rPr>
                <w:rFonts w:eastAsia="Calibri" w:cs="Times New Roman"/>
                <w:bCs/>
                <w:sz w:val="22"/>
                <w:szCs w:val="22"/>
                <w:lang w:eastAsia="en-US"/>
              </w:rPr>
              <w:t xml:space="preserve"> roku</w:t>
            </w:r>
            <w:r>
              <w:rPr>
                <w:rFonts w:eastAsia="Calibri" w:cs="Times New Roman"/>
                <w:bCs/>
                <w:sz w:val="22"/>
                <w:szCs w:val="22"/>
                <w:lang w:eastAsia="en-US"/>
              </w:rPr>
              <w:t xml:space="preserve"> i kolejnych latach.</w:t>
            </w:r>
          </w:p>
          <w:p w14:paraId="5F36F42B" w14:textId="04C74923" w:rsidR="007532AB" w:rsidRPr="004547D4" w:rsidRDefault="007532AB" w:rsidP="007532AB">
            <w:pPr>
              <w:pStyle w:val="Akapitzlist"/>
              <w:widowControl/>
              <w:numPr>
                <w:ilvl w:val="0"/>
                <w:numId w:val="5"/>
              </w:numPr>
              <w:autoSpaceDE/>
              <w:autoSpaceDN/>
              <w:adjustRightInd/>
              <w:spacing w:line="240" w:lineRule="auto"/>
              <w:ind w:left="514" w:hanging="284"/>
              <w:jc w:val="both"/>
              <w:rPr>
                <w:rFonts w:eastAsia="Calibri" w:cs="Times New Roman"/>
                <w:bCs/>
                <w:sz w:val="22"/>
                <w:szCs w:val="22"/>
                <w:lang w:eastAsia="en-US"/>
              </w:rPr>
            </w:pPr>
            <w:r w:rsidRPr="004547D4">
              <w:rPr>
                <w:rFonts w:eastAsia="Calibri" w:cs="Times New Roman"/>
                <w:bCs/>
                <w:sz w:val="22"/>
                <w:szCs w:val="22"/>
                <w:lang w:eastAsia="en-US"/>
              </w:rPr>
              <w:t>Sprawowanie bieżącego nadzoru nad wyznaczonymi</w:t>
            </w:r>
            <w:r>
              <w:rPr>
                <w:rFonts w:eastAsia="Calibri" w:cs="Times New Roman"/>
                <w:bCs/>
                <w:sz w:val="22"/>
                <w:szCs w:val="22"/>
                <w:lang w:eastAsia="en-US"/>
              </w:rPr>
              <w:t xml:space="preserve"> podmiotami</w:t>
            </w:r>
            <w:r w:rsidRPr="004547D4">
              <w:rPr>
                <w:rFonts w:eastAsia="Calibri" w:cs="Times New Roman"/>
                <w:bCs/>
                <w:sz w:val="22"/>
                <w:szCs w:val="22"/>
                <w:lang w:eastAsia="en-US"/>
              </w:rPr>
              <w:t xml:space="preserve"> i uznanymi podmiotami oraz operatorami SBSP wykonującymi operację w kategorii „szczególnej”:</w:t>
            </w:r>
          </w:p>
          <w:p w14:paraId="43F3A9EA" w14:textId="6A9C9C3F" w:rsidR="007532AB" w:rsidRPr="004547D4" w:rsidRDefault="007532AB" w:rsidP="007532AB">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sidRPr="004547D4">
              <w:rPr>
                <w:rFonts w:eastAsia="Calibri" w:cs="Times New Roman"/>
                <w:bCs/>
                <w:sz w:val="22"/>
                <w:szCs w:val="22"/>
                <w:lang w:eastAsia="en-US"/>
              </w:rPr>
              <w:t>120 x roczna opłata za nadzór nad operatorami posiadającymi zezwolenie na operację (</w:t>
            </w:r>
            <w:r>
              <w:rPr>
                <w:rFonts w:eastAsia="Calibri" w:cs="Times New Roman"/>
                <w:bCs/>
                <w:sz w:val="22"/>
                <w:szCs w:val="22"/>
                <w:lang w:eastAsia="en-US"/>
              </w:rPr>
              <w:t>10</w:t>
            </w:r>
            <w:r w:rsidRPr="004547D4">
              <w:rPr>
                <w:rFonts w:eastAsia="Calibri" w:cs="Times New Roman"/>
                <w:bCs/>
                <w:sz w:val="22"/>
                <w:szCs w:val="22"/>
                <w:lang w:eastAsia="en-US"/>
              </w:rPr>
              <w:t>00 zł),</w:t>
            </w:r>
          </w:p>
          <w:p w14:paraId="0C3B9A81" w14:textId="7F22ACE5" w:rsidR="007532AB" w:rsidRPr="004547D4" w:rsidRDefault="007532AB" w:rsidP="007532AB">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5</w:t>
            </w:r>
            <w:r w:rsidRPr="004547D4">
              <w:rPr>
                <w:rFonts w:eastAsia="Calibri" w:cs="Times New Roman"/>
                <w:bCs/>
                <w:sz w:val="22"/>
                <w:szCs w:val="22"/>
                <w:lang w:eastAsia="en-US"/>
              </w:rPr>
              <w:t xml:space="preserve"> x roczna opłata za bieżący nadzór nad operatorami z certyfikatem LUC (</w:t>
            </w:r>
            <w:r>
              <w:rPr>
                <w:rFonts w:eastAsia="Calibri" w:cs="Times New Roman"/>
                <w:bCs/>
                <w:sz w:val="22"/>
                <w:szCs w:val="22"/>
                <w:lang w:eastAsia="en-US"/>
              </w:rPr>
              <w:t>5</w:t>
            </w:r>
            <w:r w:rsidRPr="004547D4">
              <w:rPr>
                <w:rFonts w:eastAsia="Calibri" w:cs="Times New Roman"/>
                <w:bCs/>
                <w:sz w:val="22"/>
                <w:szCs w:val="22"/>
                <w:lang w:eastAsia="en-US"/>
              </w:rPr>
              <w:t>000 zł),</w:t>
            </w:r>
          </w:p>
          <w:p w14:paraId="5E77EB98" w14:textId="30A884F5" w:rsidR="007532AB" w:rsidRPr="004547D4" w:rsidRDefault="007532AB" w:rsidP="007532AB">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100</w:t>
            </w:r>
            <w:r w:rsidRPr="004547D4">
              <w:rPr>
                <w:rFonts w:eastAsia="Calibri" w:cs="Times New Roman"/>
                <w:bCs/>
                <w:sz w:val="22"/>
                <w:szCs w:val="22"/>
                <w:lang w:eastAsia="en-US"/>
              </w:rPr>
              <w:t xml:space="preserve"> x roczna opłata za bieżący nadzór nad wyznaczonym</w:t>
            </w:r>
            <w:r>
              <w:rPr>
                <w:rFonts w:eastAsia="Calibri" w:cs="Times New Roman"/>
                <w:bCs/>
                <w:sz w:val="22"/>
                <w:szCs w:val="22"/>
                <w:lang w:eastAsia="en-US"/>
              </w:rPr>
              <w:t xml:space="preserve"> </w:t>
            </w:r>
            <w:r w:rsidRPr="0069028E">
              <w:rPr>
                <w:rFonts w:eastAsia="Calibri" w:cs="Times New Roman"/>
                <w:bCs/>
                <w:sz w:val="22"/>
                <w:szCs w:val="22"/>
                <w:lang w:eastAsia="en-US"/>
              </w:rPr>
              <w:t>(500 zł)</w:t>
            </w:r>
            <w:r>
              <w:rPr>
                <w:rFonts w:eastAsia="Calibri" w:cs="Times New Roman"/>
                <w:bCs/>
                <w:sz w:val="22"/>
                <w:szCs w:val="22"/>
                <w:lang w:eastAsia="en-US"/>
              </w:rPr>
              <w:t xml:space="preserve"> </w:t>
            </w:r>
            <w:r w:rsidRPr="004547D4">
              <w:rPr>
                <w:rFonts w:eastAsia="Calibri" w:cs="Times New Roman"/>
                <w:bCs/>
                <w:sz w:val="22"/>
                <w:szCs w:val="22"/>
                <w:lang w:eastAsia="en-US"/>
              </w:rPr>
              <w:t xml:space="preserve">którzy przeprowadzają egzaminy oraz wydają </w:t>
            </w:r>
            <w:r>
              <w:rPr>
                <w:rFonts w:eastAsia="Calibri" w:cs="Times New Roman"/>
                <w:bCs/>
                <w:sz w:val="22"/>
                <w:szCs w:val="22"/>
                <w:lang w:eastAsia="en-US"/>
              </w:rPr>
              <w:t xml:space="preserve">potwierdzenia zaliczenia egzaminu teoretycznego, które </w:t>
            </w:r>
            <w:r w:rsidRPr="004547D4">
              <w:rPr>
                <w:rFonts w:eastAsia="Calibri" w:cs="Times New Roman"/>
                <w:bCs/>
                <w:sz w:val="22"/>
                <w:szCs w:val="22"/>
                <w:lang w:eastAsia="en-US"/>
              </w:rPr>
              <w:t>uprawni</w:t>
            </w:r>
            <w:r>
              <w:rPr>
                <w:rFonts w:eastAsia="Calibri" w:cs="Times New Roman"/>
                <w:bCs/>
                <w:sz w:val="22"/>
                <w:szCs w:val="22"/>
                <w:lang w:eastAsia="en-US"/>
              </w:rPr>
              <w:t>ają</w:t>
            </w:r>
            <w:r w:rsidRPr="004547D4">
              <w:rPr>
                <w:rFonts w:eastAsia="Calibri" w:cs="Times New Roman"/>
                <w:bCs/>
                <w:sz w:val="22"/>
                <w:szCs w:val="22"/>
                <w:lang w:eastAsia="en-US"/>
              </w:rPr>
              <w:t xml:space="preserve">  pilotów BSP </w:t>
            </w:r>
            <w:r>
              <w:rPr>
                <w:rFonts w:eastAsia="Calibri" w:cs="Times New Roman"/>
                <w:bCs/>
                <w:sz w:val="22"/>
                <w:szCs w:val="22"/>
                <w:lang w:eastAsia="en-US"/>
              </w:rPr>
              <w:t xml:space="preserve">do wykonywania operacji </w:t>
            </w:r>
            <w:r w:rsidRPr="004547D4">
              <w:rPr>
                <w:rFonts w:eastAsia="Calibri" w:cs="Times New Roman"/>
                <w:bCs/>
                <w:sz w:val="22"/>
                <w:szCs w:val="22"/>
                <w:lang w:eastAsia="en-US"/>
              </w:rPr>
              <w:t>w</w:t>
            </w:r>
            <w:r>
              <w:rPr>
                <w:rFonts w:eastAsia="Calibri" w:cs="Times New Roman"/>
                <w:bCs/>
                <w:sz w:val="22"/>
                <w:szCs w:val="22"/>
                <w:lang w:eastAsia="en-US"/>
              </w:rPr>
              <w:t> </w:t>
            </w:r>
            <w:r w:rsidRPr="004547D4">
              <w:rPr>
                <w:rFonts w:eastAsia="Calibri" w:cs="Times New Roman"/>
                <w:bCs/>
                <w:sz w:val="22"/>
                <w:szCs w:val="22"/>
                <w:lang w:eastAsia="en-US"/>
              </w:rPr>
              <w:t xml:space="preserve">kategorii „szczególnej” </w:t>
            </w:r>
            <w:r>
              <w:rPr>
                <w:rFonts w:eastAsia="Calibri" w:cs="Times New Roman"/>
                <w:bCs/>
                <w:sz w:val="22"/>
                <w:szCs w:val="22"/>
                <w:lang w:eastAsia="en-US"/>
              </w:rPr>
              <w:t>lub</w:t>
            </w:r>
            <w:r w:rsidRPr="004547D4">
              <w:rPr>
                <w:rFonts w:eastAsia="Calibri" w:cs="Times New Roman"/>
                <w:bCs/>
                <w:sz w:val="22"/>
                <w:szCs w:val="22"/>
                <w:lang w:eastAsia="en-US"/>
              </w:rPr>
              <w:t xml:space="preserve"> podkategorii A2 kategorii „otwarte</w:t>
            </w:r>
            <w:r>
              <w:rPr>
                <w:rFonts w:eastAsia="Calibri" w:cs="Times New Roman"/>
                <w:bCs/>
                <w:sz w:val="22"/>
                <w:szCs w:val="22"/>
                <w:lang w:eastAsia="en-US"/>
              </w:rPr>
              <w:t>j</w:t>
            </w:r>
            <w:r w:rsidRPr="004547D4">
              <w:rPr>
                <w:rFonts w:eastAsia="Calibri" w:cs="Times New Roman"/>
                <w:bCs/>
                <w:sz w:val="22"/>
                <w:szCs w:val="22"/>
                <w:lang w:eastAsia="en-US"/>
              </w:rPr>
              <w:t>” (500 zł),</w:t>
            </w:r>
          </w:p>
          <w:p w14:paraId="685C34FE" w14:textId="0F608EBA" w:rsidR="007532AB" w:rsidRDefault="007532AB" w:rsidP="007532AB">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sidRPr="0069028E">
              <w:rPr>
                <w:rFonts w:eastAsia="Calibri" w:cs="Times New Roman"/>
                <w:bCs/>
                <w:sz w:val="22"/>
                <w:szCs w:val="22"/>
                <w:lang w:eastAsia="en-US"/>
              </w:rPr>
              <w:t>100 x roczna opłata za bieżący nadzór nad uznanymi podmiotami</w:t>
            </w:r>
            <w:r>
              <w:rPr>
                <w:rFonts w:eastAsia="Calibri" w:cs="Times New Roman"/>
                <w:bCs/>
                <w:sz w:val="22"/>
                <w:szCs w:val="22"/>
                <w:lang w:eastAsia="en-US"/>
              </w:rPr>
              <w:t xml:space="preserve"> i operatorami szkolącymi</w:t>
            </w:r>
            <w:r w:rsidRPr="0069028E">
              <w:rPr>
                <w:rFonts w:eastAsia="Calibri" w:cs="Times New Roman"/>
                <w:bCs/>
                <w:sz w:val="22"/>
                <w:szCs w:val="22"/>
                <w:lang w:eastAsia="en-US"/>
              </w:rPr>
              <w:t xml:space="preserve">, którzy przeprowadzają szkolenia </w:t>
            </w:r>
            <w:r>
              <w:rPr>
                <w:rFonts w:eastAsia="Calibri" w:cs="Times New Roman"/>
                <w:bCs/>
                <w:sz w:val="22"/>
                <w:szCs w:val="22"/>
                <w:lang w:eastAsia="en-US"/>
              </w:rPr>
              <w:t xml:space="preserve">praktyczne </w:t>
            </w:r>
            <w:r w:rsidRPr="0069028E">
              <w:rPr>
                <w:rFonts w:eastAsia="Calibri" w:cs="Times New Roman"/>
                <w:bCs/>
                <w:sz w:val="22"/>
                <w:szCs w:val="22"/>
                <w:lang w:eastAsia="en-US"/>
              </w:rPr>
              <w:t>oraz wydają potwierdzenia zaliczenia egzaminu teoretycznego, które uprawnienia uprawniają dla pilotów BSP do wykonywania operacji w kategorii „szczególnej” i lub podkategorii A2 kategorii „otwartej” (500 zł)</w:t>
            </w:r>
            <w:r>
              <w:rPr>
                <w:rFonts w:eastAsia="Calibri" w:cs="Times New Roman"/>
                <w:bCs/>
                <w:sz w:val="22"/>
                <w:szCs w:val="22"/>
                <w:lang w:eastAsia="en-US"/>
              </w:rPr>
              <w:t>.</w:t>
            </w:r>
          </w:p>
          <w:p w14:paraId="6AA08E63" w14:textId="298B1D45" w:rsidR="007532AB" w:rsidRPr="004547D4" w:rsidRDefault="007532AB" w:rsidP="007532AB">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Kary zostały uregulowane w sposób kompleksowy, a ich wysokość jest adekwatna do naruszenia</w:t>
            </w:r>
            <w:r>
              <w:rPr>
                <w:rFonts w:cs="Times New Roman"/>
                <w:bCs/>
                <w:sz w:val="22"/>
                <w:szCs w:val="22"/>
              </w:rPr>
              <w:t>.</w:t>
            </w:r>
            <w:r w:rsidRPr="004547D4">
              <w:rPr>
                <w:rFonts w:cs="Times New Roman"/>
                <w:bCs/>
                <w:sz w:val="22"/>
                <w:szCs w:val="22"/>
              </w:rPr>
              <w:t xml:space="preserve"> Założenia poczynione zostały w oparciu o obserwacje występujących nieprawidłowości w działalności podmiotów. Należy jednocześnie zwrócić uwagę, </w:t>
            </w:r>
            <w:r>
              <w:rPr>
                <w:rFonts w:cs="Times New Roman"/>
                <w:bCs/>
                <w:sz w:val="22"/>
                <w:szCs w:val="22"/>
              </w:rPr>
              <w:t>że</w:t>
            </w:r>
            <w:r w:rsidRPr="004547D4">
              <w:rPr>
                <w:rFonts w:cs="Times New Roman"/>
                <w:bCs/>
                <w:sz w:val="22"/>
                <w:szCs w:val="22"/>
              </w:rPr>
              <w:t xml:space="preserve"> w</w:t>
            </w:r>
            <w:r>
              <w:rPr>
                <w:rFonts w:cs="Times New Roman"/>
                <w:bCs/>
                <w:sz w:val="22"/>
                <w:szCs w:val="22"/>
              </w:rPr>
              <w:t> </w:t>
            </w:r>
            <w:r w:rsidRPr="004547D4">
              <w:rPr>
                <w:rFonts w:cs="Times New Roman"/>
                <w:bCs/>
                <w:sz w:val="22"/>
                <w:szCs w:val="22"/>
              </w:rPr>
              <w:t xml:space="preserve">stosunku do dotychczasowych rozwiązań, dopiero w </w:t>
            </w:r>
            <w:r>
              <w:rPr>
                <w:rFonts w:cs="Times New Roman"/>
                <w:bCs/>
                <w:sz w:val="22"/>
                <w:szCs w:val="22"/>
              </w:rPr>
              <w:t>projektowanym</w:t>
            </w:r>
            <w:r w:rsidRPr="004547D4">
              <w:rPr>
                <w:rFonts w:cs="Times New Roman"/>
                <w:bCs/>
                <w:sz w:val="22"/>
                <w:szCs w:val="22"/>
              </w:rPr>
              <w:t xml:space="preserve"> projekcie</w:t>
            </w:r>
            <w:r>
              <w:rPr>
                <w:rFonts w:cs="Times New Roman"/>
                <w:bCs/>
                <w:sz w:val="22"/>
                <w:szCs w:val="22"/>
              </w:rPr>
              <w:t xml:space="preserve"> ustawy</w:t>
            </w:r>
            <w:r w:rsidRPr="004547D4">
              <w:rPr>
                <w:rFonts w:cs="Times New Roman"/>
                <w:bCs/>
                <w:sz w:val="22"/>
                <w:szCs w:val="22"/>
              </w:rPr>
              <w:t xml:space="preserve"> ustanowiono kompleksowy system kar w celu wyegzekwowania przestrzegania przepisów, więc należy spodziewać się, że wysokość dochodów z kar będzie nawet wyższa</w:t>
            </w:r>
            <w:r>
              <w:rPr>
                <w:rFonts w:cs="Times New Roman"/>
                <w:bCs/>
                <w:sz w:val="22"/>
                <w:szCs w:val="22"/>
              </w:rPr>
              <w:t xml:space="preserve"> niż przewidziana</w:t>
            </w:r>
            <w:r w:rsidRPr="004547D4">
              <w:rPr>
                <w:rFonts w:cs="Times New Roman"/>
                <w:bCs/>
                <w:sz w:val="22"/>
                <w:szCs w:val="22"/>
              </w:rPr>
              <w:t xml:space="preserve"> (dotychczas nie zagrożone sankcją finansową naruszenia przepisów przez podmioty po wejściu w życie ustawy spotkają się z konsekwencjami w</w:t>
            </w:r>
            <w:r>
              <w:rPr>
                <w:rFonts w:cs="Times New Roman"/>
                <w:bCs/>
                <w:sz w:val="22"/>
                <w:szCs w:val="22"/>
              </w:rPr>
              <w:t> </w:t>
            </w:r>
            <w:r w:rsidRPr="004547D4">
              <w:rPr>
                <w:rFonts w:cs="Times New Roman"/>
                <w:bCs/>
                <w:sz w:val="22"/>
                <w:szCs w:val="22"/>
              </w:rPr>
              <w:t xml:space="preserve">postaci </w:t>
            </w:r>
            <w:r>
              <w:rPr>
                <w:rFonts w:cs="Times New Roman"/>
                <w:bCs/>
                <w:sz w:val="22"/>
                <w:szCs w:val="22"/>
              </w:rPr>
              <w:t xml:space="preserve">administracyjnych </w:t>
            </w:r>
            <w:r w:rsidRPr="004547D4">
              <w:rPr>
                <w:rFonts w:cs="Times New Roman"/>
                <w:bCs/>
                <w:sz w:val="22"/>
                <w:szCs w:val="22"/>
              </w:rPr>
              <w:t>kar</w:t>
            </w:r>
            <w:r>
              <w:rPr>
                <w:rFonts w:cs="Times New Roman"/>
                <w:bCs/>
                <w:sz w:val="22"/>
                <w:szCs w:val="22"/>
              </w:rPr>
              <w:t xml:space="preserve"> pieniężnych</w:t>
            </w:r>
            <w:r w:rsidRPr="004547D4">
              <w:rPr>
                <w:rFonts w:cs="Times New Roman"/>
                <w:bCs/>
                <w:sz w:val="22"/>
                <w:szCs w:val="22"/>
              </w:rPr>
              <w:t>). Z drugiej strony należy podkreślić, że wprowadzane kary nie mają stanowić w pierwszej kolejności źródła wpływów do budżetu państwa, lecz pełnić funkcję prewencyjną i wpływać na zwiększenie poziomu bezpieczeństwa.</w:t>
            </w:r>
          </w:p>
          <w:p w14:paraId="4D2888C3" w14:textId="78674AFD" w:rsidR="007532AB" w:rsidRDefault="007532AB" w:rsidP="007532AB">
            <w:pPr>
              <w:widowControl/>
              <w:autoSpaceDE/>
              <w:autoSpaceDN/>
              <w:adjustRightInd/>
              <w:spacing w:line="240" w:lineRule="auto"/>
              <w:jc w:val="both"/>
              <w:rPr>
                <w:rFonts w:cs="Times New Roman"/>
                <w:bCs/>
                <w:sz w:val="22"/>
                <w:szCs w:val="22"/>
              </w:rPr>
            </w:pPr>
            <w:r w:rsidRPr="001361B7">
              <w:rPr>
                <w:rFonts w:cs="Times New Roman"/>
                <w:bCs/>
                <w:sz w:val="22"/>
                <w:szCs w:val="22"/>
              </w:rPr>
              <w:t>Wskazane wartości wydatków wynikają z oszacowania potrzeb kadrowych zaangażowanych w proces nadzoru nad rynkiem, w tym zwiększenia liczby etatów potrzebnych do obsługi rejestru operatorów, prowadzenia szkolenia online, kosztów badań wyrobów dokonywanych w specjalistycznych jednostkach badawczych oraz potencjalnych dochodów z opłat lotniczych. Należy podkreślić, że nałożenie na Prezesa ULC nowych kompetencji oraz dodanie nowych kategorii podmiotów będących pod nadzorem Prezesa ULC (prowadzenie nowego rejestru, prowadzenia szkolenia online oraz wydawania potwierdzenie zaliczenia szkolen</w:t>
            </w:r>
            <w:r>
              <w:rPr>
                <w:rFonts w:cs="Times New Roman"/>
                <w:bCs/>
                <w:sz w:val="22"/>
                <w:szCs w:val="22"/>
              </w:rPr>
              <w:t>ia i zdania egzaminu online – w </w:t>
            </w:r>
            <w:r w:rsidRPr="001361B7">
              <w:rPr>
                <w:rFonts w:cs="Times New Roman"/>
                <w:bCs/>
                <w:sz w:val="22"/>
                <w:szCs w:val="22"/>
              </w:rPr>
              <w:t>przypadku wykonywania operacji w podkategorii A1 i A3 kategorii „otwartej”, wykonywanie czynności względem posiadaczy certyfikatu LUC, prowadzenie postępowań w zakresie wydawania uprawnień do wykonywania operacji w kategorii „szczególnej” oraz kategorii „certyfikowanej”) wiąże się ze zwiększeniem liczby procedur</w:t>
            </w:r>
            <w:r w:rsidRPr="001361B7" w:rsidDel="006224FA">
              <w:rPr>
                <w:rFonts w:cs="Times New Roman"/>
                <w:bCs/>
                <w:sz w:val="22"/>
                <w:szCs w:val="22"/>
              </w:rPr>
              <w:t xml:space="preserve"> </w:t>
            </w:r>
            <w:r w:rsidRPr="001361B7">
              <w:rPr>
                <w:rFonts w:cs="Times New Roman"/>
                <w:bCs/>
                <w:sz w:val="22"/>
                <w:szCs w:val="22"/>
              </w:rPr>
              <w:t>stosowanych przez Prezesa ULC oraz koniecznością zwiększenia liczby wykonywanych kontroli. Należyte wykonywanie nowych kompetencji przez organ nadzoru lotniczego wymaga specjalistycznej wiedzy, co wiąże się także z koniecznością zatrudnienia wykwalifikowanych pracowników oraz ciągłego ich szkolenia wobec nowych zastosowań systemów bezzałogowych statków powietrznych.</w:t>
            </w:r>
          </w:p>
          <w:p w14:paraId="27137210" w14:textId="4FDE1393" w:rsidR="007532AB" w:rsidRDefault="007532AB" w:rsidP="007532AB">
            <w:pPr>
              <w:widowControl/>
              <w:autoSpaceDE/>
              <w:autoSpaceDN/>
              <w:adjustRightInd/>
              <w:spacing w:after="120" w:line="240" w:lineRule="auto"/>
              <w:jc w:val="both"/>
              <w:rPr>
                <w:rFonts w:eastAsia="Calibri" w:cs="Times New Roman"/>
                <w:bCs/>
                <w:sz w:val="22"/>
                <w:szCs w:val="22"/>
                <w:lang w:eastAsia="en-US"/>
              </w:rPr>
            </w:pPr>
            <w:r w:rsidRPr="000606A7">
              <w:rPr>
                <w:rFonts w:eastAsia="Calibri" w:cs="Times New Roman"/>
                <w:bCs/>
                <w:sz w:val="22"/>
                <w:szCs w:val="22"/>
                <w:lang w:eastAsia="en-US"/>
              </w:rPr>
              <w:t>Obciążenia dla budżetu państwa wynikają z kosztów zwiększenia zatrudnienia w ULC w celu zwiększenia liczby pracowników w komórkach organizacyjnych zajmujących się sprawami z zakresu systemów BSP, techniki lotniczej oraz żeglugi powietrznej i</w:t>
            </w:r>
            <w:r w:rsidR="00072270">
              <w:rPr>
                <w:rFonts w:eastAsia="Calibri" w:cs="Times New Roman"/>
                <w:bCs/>
                <w:sz w:val="22"/>
                <w:szCs w:val="22"/>
                <w:lang w:eastAsia="en-US"/>
              </w:rPr>
              <w:t> </w:t>
            </w:r>
            <w:r w:rsidRPr="000606A7">
              <w:rPr>
                <w:rFonts w:eastAsia="Calibri" w:cs="Times New Roman"/>
                <w:bCs/>
                <w:sz w:val="22"/>
                <w:szCs w:val="22"/>
                <w:lang w:eastAsia="en-US"/>
              </w:rPr>
              <w:t>obejmują koszty wynagrodzenia dla nowozatrudnionych osób, obliczone wg poniższych założeń.</w:t>
            </w:r>
          </w:p>
          <w:tbl>
            <w:tblPr>
              <w:tblW w:w="7599" w:type="dxa"/>
              <w:tblLayout w:type="fixed"/>
              <w:tblCellMar>
                <w:left w:w="70" w:type="dxa"/>
                <w:right w:w="70" w:type="dxa"/>
              </w:tblCellMar>
              <w:tblLook w:val="04A0" w:firstRow="1" w:lastRow="0" w:firstColumn="1" w:lastColumn="0" w:noHBand="0" w:noVBand="1"/>
            </w:tblPr>
            <w:tblGrid>
              <w:gridCol w:w="1787"/>
              <w:gridCol w:w="851"/>
              <w:gridCol w:w="1134"/>
              <w:gridCol w:w="1134"/>
              <w:gridCol w:w="850"/>
              <w:gridCol w:w="1843"/>
            </w:tblGrid>
            <w:tr w:rsidR="007532AB" w:rsidRPr="00E11130" w14:paraId="695AC21D"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473F7AE7" w14:textId="53E6D6F3"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5 etatów KSC w skali 6 m-cy (rok 0 - od 01.07.2023)</w:t>
                  </w:r>
                </w:p>
              </w:tc>
            </w:tr>
            <w:tr w:rsidR="007532AB" w:rsidRPr="00E11130" w14:paraId="13FF5292"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9D5B657" w14:textId="6585538B"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76C0FF58" w14:textId="78FD4FD3"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hideMark/>
                </w:tcPr>
                <w:p w14:paraId="6510C7B5" w14:textId="532FC506"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hideMark/>
                </w:tcPr>
                <w:p w14:paraId="4FCA4498" w14:textId="18614795"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hideMark/>
                </w:tcPr>
                <w:p w14:paraId="1DB64CE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75B0A037"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5 etatów KSC w roku zerowym (bez DWR)</w:t>
                  </w:r>
                </w:p>
              </w:tc>
            </w:tr>
            <w:tr w:rsidR="007532AB" w:rsidRPr="00E11130" w14:paraId="06FB07E4"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450F76C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7D4D15B8"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473B1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4B2B5F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1CAC293A"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76A7CC8" w14:textId="2A4389C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851" w:type="dxa"/>
                  <w:tcBorders>
                    <w:top w:val="nil"/>
                    <w:left w:val="nil"/>
                    <w:bottom w:val="single" w:sz="4" w:space="0" w:color="auto"/>
                    <w:right w:val="single" w:sz="4" w:space="0" w:color="auto"/>
                  </w:tcBorders>
                  <w:shd w:val="clear" w:color="auto" w:fill="auto"/>
                  <w:vAlign w:val="center"/>
                  <w:hideMark/>
                </w:tcPr>
                <w:p w14:paraId="7B42056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2ED55CB1" w14:textId="3C7FCC9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4A51AEEB" w14:textId="0DD914A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3AB04530" w14:textId="5BFA02F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175B17C9" w14:textId="05F3E1EE"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270</w:t>
                  </w:r>
                </w:p>
              </w:tc>
            </w:tr>
            <w:tr w:rsidR="007532AB" w:rsidRPr="00E11130" w14:paraId="361C993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3B65A2F"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55AE74D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20C47B8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CC3985A"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66B871E9"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4CF6E0D8" w14:textId="782F274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46</w:t>
                  </w:r>
                </w:p>
              </w:tc>
            </w:tr>
            <w:tr w:rsidR="007532AB" w:rsidRPr="00E11130" w14:paraId="65095636"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022E5ED3" w14:textId="7B512CF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47F86C9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206AAF95"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7DE9FA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729E955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48D3163F" w14:textId="44038585"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7</w:t>
                  </w:r>
                </w:p>
              </w:tc>
            </w:tr>
            <w:tr w:rsidR="007532AB" w:rsidRPr="00E11130" w14:paraId="6F2A20D2" w14:textId="77777777" w:rsidTr="00E11130">
              <w:trPr>
                <w:trHeight w:val="300"/>
              </w:trPr>
              <w:tc>
                <w:tcPr>
                  <w:tcW w:w="1787" w:type="dxa"/>
                  <w:tcBorders>
                    <w:top w:val="nil"/>
                    <w:left w:val="nil"/>
                    <w:bottom w:val="nil"/>
                    <w:right w:val="nil"/>
                  </w:tcBorders>
                  <w:shd w:val="clear" w:color="auto" w:fill="auto"/>
                  <w:noWrap/>
                  <w:vAlign w:val="bottom"/>
                  <w:hideMark/>
                </w:tcPr>
                <w:p w14:paraId="323D41F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73186D3B"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0B235BB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6682F2F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8AFEC5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200B5E37" w14:textId="56262358"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323</w:t>
                  </w:r>
                </w:p>
              </w:tc>
            </w:tr>
            <w:tr w:rsidR="007532AB" w:rsidRPr="00E11130" w14:paraId="5C2EE74C" w14:textId="77777777" w:rsidTr="00E11130">
              <w:trPr>
                <w:trHeight w:val="300"/>
              </w:trPr>
              <w:tc>
                <w:tcPr>
                  <w:tcW w:w="1787" w:type="dxa"/>
                  <w:tcBorders>
                    <w:top w:val="nil"/>
                    <w:left w:val="nil"/>
                    <w:bottom w:val="nil"/>
                    <w:right w:val="nil"/>
                  </w:tcBorders>
                  <w:shd w:val="clear" w:color="auto" w:fill="auto"/>
                  <w:noWrap/>
                  <w:vAlign w:val="bottom"/>
                  <w:hideMark/>
                </w:tcPr>
                <w:p w14:paraId="3E3A0503"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52DF0D25"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208221A"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1D111B3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344E93D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458A0D59"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67C2C527"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0E6C31E5" w14:textId="283FE4C5"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6 etatów KSC w skali 12 m-cy (rok 1 - 2024)</w:t>
                  </w:r>
                </w:p>
              </w:tc>
            </w:tr>
            <w:tr w:rsidR="007532AB" w:rsidRPr="00E11130" w14:paraId="4031A77A"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6125464" w14:textId="5267CE2D"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w:t>
                  </w:r>
                  <w:r>
                    <w:rPr>
                      <w:rFonts w:eastAsia="Times New Roman" w:cs="Times New Roman"/>
                      <w:b/>
                      <w:bCs/>
                      <w:color w:val="000000"/>
                      <w:sz w:val="18"/>
                      <w:szCs w:val="18"/>
                    </w:rPr>
                    <w:t xml:space="preserve">eń do OSR - na podstawie Rb-70 </w:t>
                  </w:r>
                  <w:r w:rsidRPr="00E11130">
                    <w:rPr>
                      <w:rFonts w:eastAsia="Times New Roman" w:cs="Times New Roman"/>
                      <w:b/>
                      <w:bCs/>
                      <w:color w:val="000000"/>
                      <w:sz w:val="18"/>
                      <w:szCs w:val="18"/>
                    </w:rPr>
                    <w:t>IV kwartał 2022</w:t>
                  </w:r>
                </w:p>
              </w:tc>
              <w:tc>
                <w:tcPr>
                  <w:tcW w:w="851" w:type="dxa"/>
                  <w:tcBorders>
                    <w:top w:val="nil"/>
                    <w:left w:val="nil"/>
                    <w:bottom w:val="single" w:sz="4" w:space="0" w:color="auto"/>
                    <w:right w:val="single" w:sz="4" w:space="0" w:color="auto"/>
                  </w:tcBorders>
                  <w:shd w:val="clear" w:color="auto" w:fill="auto"/>
                  <w:vAlign w:val="center"/>
                  <w:hideMark/>
                </w:tcPr>
                <w:p w14:paraId="783C5764" w14:textId="180A7E3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3DF19A14" w14:textId="6ABE172E"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w:t>
                  </w:r>
                  <w:r w:rsidRPr="00E11130" w:rsidDel="0042119D">
                    <w:rPr>
                      <w:rFonts w:eastAsia="Times New Roman" w:cs="Times New Roman"/>
                      <w:color w:val="000000"/>
                      <w:sz w:val="18"/>
                      <w:szCs w:val="18"/>
                    </w:rPr>
                    <w:t xml:space="preserve"> </w:t>
                  </w:r>
                  <w:r w:rsidRPr="00E11130">
                    <w:rPr>
                      <w:rFonts w:eastAsia="Times New Roman" w:cs="Times New Roman"/>
                      <w:color w:val="000000"/>
                      <w:sz w:val="18"/>
                      <w:szCs w:val="18"/>
                    </w:rPr>
                    <w:t>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78B0C9C1" w14:textId="4E2528D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3138DECF"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6DC8820A" w14:textId="531151CA"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6 etatów KSC w skali 12 m-cy (z DWR</w:t>
                  </w:r>
                  <w:r>
                    <w:rPr>
                      <w:rFonts w:eastAsia="Times New Roman" w:cs="Times New Roman"/>
                      <w:b/>
                      <w:bCs/>
                      <w:color w:val="000000"/>
                      <w:sz w:val="18"/>
                      <w:szCs w:val="18"/>
                    </w:rPr>
                    <w:t xml:space="preserve"> dla 5 etatów</w:t>
                  </w:r>
                  <w:r w:rsidRPr="00E11130">
                    <w:rPr>
                      <w:rFonts w:eastAsia="Times New Roman" w:cs="Times New Roman"/>
                      <w:b/>
                      <w:bCs/>
                      <w:color w:val="000000"/>
                      <w:sz w:val="18"/>
                      <w:szCs w:val="18"/>
                    </w:rPr>
                    <w:t>)</w:t>
                  </w:r>
                </w:p>
              </w:tc>
            </w:tr>
            <w:tr w:rsidR="007532AB" w:rsidRPr="00E11130" w14:paraId="38B5CEC8"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4BF2D84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3E5EDC6D"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3B1EE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F1CA36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79AB9854"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1CAAE31" w14:textId="509E2A5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478957F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7B010B47" w14:textId="5ECA122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721A8D7D" w14:textId="0927733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7FB2E76C" w14:textId="497C6B16"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0D65138C" w14:textId="372BDD1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648</w:t>
                  </w:r>
                </w:p>
              </w:tc>
            </w:tr>
            <w:tr w:rsidR="007532AB" w:rsidRPr="00E11130" w14:paraId="04588234"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6FFD0B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5EF7D72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65069E2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49ED4E73"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2FE7724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5D18328F" w14:textId="28CD214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23</w:t>
                  </w:r>
                </w:p>
              </w:tc>
            </w:tr>
            <w:tr w:rsidR="007532AB" w:rsidRPr="00E11130" w14:paraId="75BAA701"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5287A7B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393A9C8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1893E0F4"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29B86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6794E185"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559CA6DF" w14:textId="608298E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115</w:t>
                  </w:r>
                </w:p>
              </w:tc>
            </w:tr>
            <w:tr w:rsidR="007532AB" w:rsidRPr="00E11130" w14:paraId="146E7683"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14A5C415" w14:textId="0E96B4A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366010B4"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1E6D904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44A0D3"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FDA9EDD"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210D4074" w14:textId="0D30B64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16</w:t>
                  </w:r>
                </w:p>
              </w:tc>
            </w:tr>
            <w:tr w:rsidR="007532AB" w:rsidRPr="00E11130" w14:paraId="684A7E9B" w14:textId="77777777" w:rsidTr="00E11130">
              <w:trPr>
                <w:trHeight w:val="300"/>
              </w:trPr>
              <w:tc>
                <w:tcPr>
                  <w:tcW w:w="1787" w:type="dxa"/>
                  <w:tcBorders>
                    <w:top w:val="nil"/>
                    <w:left w:val="nil"/>
                    <w:bottom w:val="nil"/>
                    <w:right w:val="nil"/>
                  </w:tcBorders>
                  <w:shd w:val="clear" w:color="auto" w:fill="auto"/>
                  <w:noWrap/>
                  <w:vAlign w:val="bottom"/>
                  <w:hideMark/>
                </w:tcPr>
                <w:p w14:paraId="6CC5474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674D01ED"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104FE0B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636C19AD"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521FC35"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43D5487B" w14:textId="20CD8BE6"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802</w:t>
                  </w:r>
                </w:p>
              </w:tc>
            </w:tr>
            <w:tr w:rsidR="007532AB" w:rsidRPr="00E11130" w14:paraId="279109B4" w14:textId="77777777" w:rsidTr="00E11130">
              <w:trPr>
                <w:trHeight w:val="300"/>
              </w:trPr>
              <w:tc>
                <w:tcPr>
                  <w:tcW w:w="1787" w:type="dxa"/>
                  <w:tcBorders>
                    <w:top w:val="nil"/>
                    <w:left w:val="nil"/>
                    <w:bottom w:val="nil"/>
                    <w:right w:val="nil"/>
                  </w:tcBorders>
                  <w:shd w:val="clear" w:color="auto" w:fill="auto"/>
                  <w:noWrap/>
                  <w:vAlign w:val="bottom"/>
                  <w:hideMark/>
                </w:tcPr>
                <w:p w14:paraId="0CE7FE0B"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3B099788"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7A070456"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7A3E3F7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115AB8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7762E250"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3CE5E6CC"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022E14F0" w14:textId="0B9BFA36"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7 etatów KSC w skali 12 m-cy (rok 2 - 2025)</w:t>
                  </w:r>
                </w:p>
              </w:tc>
            </w:tr>
            <w:tr w:rsidR="007532AB" w:rsidRPr="00E11130" w14:paraId="67CF6DDF"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AD3EF03" w14:textId="12C79561"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0F851AD6" w14:textId="4B3DDE8B"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006347EE" w14:textId="53A11AC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7BCB342C" w14:textId="6AD807C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3D9D7D7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5DE2FB4C" w14:textId="688063C9"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7 etatów KSC w skali 12 m-cy (z DWR</w:t>
                  </w:r>
                  <w:r>
                    <w:rPr>
                      <w:rFonts w:eastAsia="Times New Roman" w:cs="Times New Roman"/>
                      <w:b/>
                      <w:bCs/>
                      <w:color w:val="000000"/>
                      <w:sz w:val="18"/>
                      <w:szCs w:val="18"/>
                    </w:rPr>
                    <w:t xml:space="preserve"> dla 6 etatów</w:t>
                  </w:r>
                  <w:r w:rsidRPr="00E11130">
                    <w:rPr>
                      <w:rFonts w:eastAsia="Times New Roman" w:cs="Times New Roman"/>
                      <w:b/>
                      <w:bCs/>
                      <w:color w:val="000000"/>
                      <w:sz w:val="18"/>
                      <w:szCs w:val="18"/>
                    </w:rPr>
                    <w:t>)</w:t>
                  </w:r>
                </w:p>
              </w:tc>
            </w:tr>
            <w:tr w:rsidR="007532AB" w:rsidRPr="00E11130" w14:paraId="14C8C6D8"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1BB6E6FF"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52C87617"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F6725B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31E199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24BA33FC"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75811226" w14:textId="271DE07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73A2392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3177AF64" w14:textId="40391FA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57904C8B" w14:textId="6A7F3AA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55D559B2" w14:textId="2DF915D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74DEDC66" w14:textId="5813C6F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756</w:t>
                  </w:r>
                </w:p>
              </w:tc>
            </w:tr>
            <w:tr w:rsidR="007532AB" w:rsidRPr="00E11130" w14:paraId="00C4EE71"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669190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58F0CF4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294D563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16F1AAB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502EF86F"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34FD9EE1" w14:textId="09C3E2F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55</w:t>
                  </w:r>
                </w:p>
              </w:tc>
            </w:tr>
            <w:tr w:rsidR="007532AB" w:rsidRPr="00E11130" w14:paraId="22D49AD7"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DFC0A3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6920BD6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280F8442"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7651939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329904B8"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3356C51C" w14:textId="3AE8032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139</w:t>
                  </w:r>
                </w:p>
              </w:tc>
            </w:tr>
            <w:tr w:rsidR="007532AB" w:rsidRPr="00E11130" w14:paraId="4D8E64E2"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144F183" w14:textId="5BF62DF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5CF20C6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4CD28EC7"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44BC4D72"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06F3F08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575E090F" w14:textId="71CD3FE3"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20</w:t>
                  </w:r>
                </w:p>
              </w:tc>
            </w:tr>
            <w:tr w:rsidR="007532AB" w:rsidRPr="00E11130" w14:paraId="721A30C8" w14:textId="77777777" w:rsidTr="00E11130">
              <w:trPr>
                <w:trHeight w:val="300"/>
              </w:trPr>
              <w:tc>
                <w:tcPr>
                  <w:tcW w:w="1787" w:type="dxa"/>
                  <w:tcBorders>
                    <w:top w:val="nil"/>
                    <w:left w:val="nil"/>
                    <w:bottom w:val="nil"/>
                    <w:right w:val="nil"/>
                  </w:tcBorders>
                  <w:shd w:val="clear" w:color="auto" w:fill="auto"/>
                  <w:noWrap/>
                  <w:vAlign w:val="bottom"/>
                  <w:hideMark/>
                </w:tcPr>
                <w:p w14:paraId="6AC1032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09A39D5B"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64D874E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F091795"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7ADA974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2EEA6B11" w14:textId="6A18D010"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970</w:t>
                  </w:r>
                </w:p>
              </w:tc>
            </w:tr>
            <w:tr w:rsidR="007532AB" w:rsidRPr="00E11130" w14:paraId="537C88DD" w14:textId="77777777" w:rsidTr="00E11130">
              <w:trPr>
                <w:trHeight w:val="300"/>
              </w:trPr>
              <w:tc>
                <w:tcPr>
                  <w:tcW w:w="1787" w:type="dxa"/>
                  <w:tcBorders>
                    <w:top w:val="nil"/>
                    <w:left w:val="nil"/>
                    <w:bottom w:val="nil"/>
                    <w:right w:val="nil"/>
                  </w:tcBorders>
                  <w:shd w:val="clear" w:color="auto" w:fill="auto"/>
                  <w:noWrap/>
                  <w:vAlign w:val="bottom"/>
                  <w:hideMark/>
                </w:tcPr>
                <w:p w14:paraId="71CE5F0A"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1521028A"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2E6B1E0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E6AFD3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980A2D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center"/>
                  <w:hideMark/>
                </w:tcPr>
                <w:p w14:paraId="66F4AC22"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455B7F6C"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6B9B716E" w14:textId="75A08695"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8 etatów KSC w skali 12 m-cy (rok 3 - 2026)</w:t>
                  </w:r>
                </w:p>
              </w:tc>
            </w:tr>
            <w:tr w:rsidR="007532AB" w:rsidRPr="00E11130" w14:paraId="527227EF"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23432D1" w14:textId="54F2E588"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078E5AF0" w14:textId="16B541D3"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7B4368F3" w14:textId="055C6595"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kw.2022</w:t>
                  </w:r>
                </w:p>
              </w:tc>
              <w:tc>
                <w:tcPr>
                  <w:tcW w:w="1134" w:type="dxa"/>
                  <w:tcBorders>
                    <w:top w:val="nil"/>
                    <w:left w:val="nil"/>
                    <w:bottom w:val="single" w:sz="4" w:space="0" w:color="auto"/>
                    <w:right w:val="single" w:sz="4" w:space="0" w:color="auto"/>
                  </w:tcBorders>
                  <w:shd w:val="clear" w:color="auto" w:fill="auto"/>
                  <w:vAlign w:val="center"/>
                  <w:hideMark/>
                </w:tcPr>
                <w:p w14:paraId="641E2238" w14:textId="44B1AA12"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kw.2022 (bez projektów UE)</w:t>
                  </w:r>
                </w:p>
              </w:tc>
              <w:tc>
                <w:tcPr>
                  <w:tcW w:w="850" w:type="dxa"/>
                  <w:tcBorders>
                    <w:top w:val="nil"/>
                    <w:left w:val="nil"/>
                    <w:bottom w:val="single" w:sz="4" w:space="0" w:color="auto"/>
                    <w:right w:val="single" w:sz="4" w:space="0" w:color="auto"/>
                  </w:tcBorders>
                  <w:shd w:val="clear" w:color="auto" w:fill="auto"/>
                  <w:hideMark/>
                </w:tcPr>
                <w:p w14:paraId="7313A69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53E9FBEA" w14:textId="405BE12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8 etatów KSC w skali 12 m-cy (z DWR</w:t>
                  </w:r>
                  <w:r>
                    <w:rPr>
                      <w:rFonts w:eastAsia="Times New Roman" w:cs="Times New Roman"/>
                      <w:b/>
                      <w:bCs/>
                      <w:color w:val="000000"/>
                      <w:sz w:val="18"/>
                      <w:szCs w:val="18"/>
                    </w:rPr>
                    <w:t xml:space="preserve"> dla 7 etatów</w:t>
                  </w:r>
                  <w:r w:rsidRPr="00E11130">
                    <w:rPr>
                      <w:rFonts w:eastAsia="Times New Roman" w:cs="Times New Roman"/>
                      <w:b/>
                      <w:bCs/>
                      <w:color w:val="000000"/>
                      <w:sz w:val="18"/>
                      <w:szCs w:val="18"/>
                    </w:rPr>
                    <w:t>)</w:t>
                  </w:r>
                </w:p>
              </w:tc>
            </w:tr>
            <w:tr w:rsidR="007532AB" w:rsidRPr="00E11130" w14:paraId="53482D86"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0072D332"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501CD0B2"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7F2AF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59FECB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4BBE4E8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30744C0" w14:textId="6ED63D1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18E52FC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2B669759" w14:textId="2BF1AEC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19C8F1B3" w14:textId="71CB275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4CED14A0" w14:textId="19B20C8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3E3D2B98" w14:textId="714B715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864</w:t>
                  </w:r>
                </w:p>
              </w:tc>
            </w:tr>
            <w:tr w:rsidR="007532AB" w:rsidRPr="00E11130" w14:paraId="3D3707C3"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ED7182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7CC6C08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6FD5AB0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730F023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21D597C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A2CA15C" w14:textId="7648C73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64</w:t>
                  </w:r>
                </w:p>
              </w:tc>
            </w:tr>
            <w:tr w:rsidR="007532AB" w:rsidRPr="00E11130" w14:paraId="5268CC5F"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0331864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1DFA163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1E33C29C"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42BD97BD"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7E7308E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E2A28B8" w14:textId="610E6483"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160</w:t>
                  </w:r>
                </w:p>
              </w:tc>
            </w:tr>
            <w:tr w:rsidR="007532AB" w:rsidRPr="00E11130" w14:paraId="1F9CD822"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197534D3" w14:textId="2FBDBE2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4078541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633F2DE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09D1DE0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5340635A"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68304A3C" w14:textId="0032DAF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23</w:t>
                  </w:r>
                </w:p>
              </w:tc>
            </w:tr>
            <w:tr w:rsidR="007532AB" w:rsidRPr="00E11130" w14:paraId="1180A07C" w14:textId="77777777" w:rsidTr="00E11130">
              <w:trPr>
                <w:trHeight w:val="300"/>
              </w:trPr>
              <w:tc>
                <w:tcPr>
                  <w:tcW w:w="1787" w:type="dxa"/>
                  <w:tcBorders>
                    <w:top w:val="nil"/>
                    <w:left w:val="nil"/>
                    <w:bottom w:val="nil"/>
                    <w:right w:val="nil"/>
                  </w:tcBorders>
                  <w:shd w:val="clear" w:color="auto" w:fill="auto"/>
                  <w:noWrap/>
                  <w:vAlign w:val="bottom"/>
                  <w:hideMark/>
                </w:tcPr>
                <w:p w14:paraId="5F1C5F4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5E7EFE5A"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48F0B64F"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58ED8F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6425E3D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1CA21808" w14:textId="3A072CB8"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1 111</w:t>
                  </w:r>
                </w:p>
              </w:tc>
            </w:tr>
            <w:tr w:rsidR="007532AB" w:rsidRPr="00E11130" w14:paraId="1314535F" w14:textId="77777777" w:rsidTr="00E11130">
              <w:trPr>
                <w:trHeight w:val="300"/>
              </w:trPr>
              <w:tc>
                <w:tcPr>
                  <w:tcW w:w="1787" w:type="dxa"/>
                  <w:tcBorders>
                    <w:top w:val="nil"/>
                    <w:left w:val="nil"/>
                    <w:bottom w:val="nil"/>
                    <w:right w:val="nil"/>
                  </w:tcBorders>
                  <w:shd w:val="clear" w:color="auto" w:fill="auto"/>
                  <w:noWrap/>
                  <w:vAlign w:val="bottom"/>
                  <w:hideMark/>
                </w:tcPr>
                <w:p w14:paraId="0E9963A8"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2D90D6C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288BA93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10E6990A"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7989DF1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39412424"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5BFCA1BA"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0DCF1245" w14:textId="76D285F1"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9 etatów KSC w skali 12 m-cy (rok 4 - 2027)</w:t>
                  </w:r>
                </w:p>
              </w:tc>
            </w:tr>
            <w:tr w:rsidR="007532AB" w:rsidRPr="00E11130" w14:paraId="7AC62445"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05D55369" w14:textId="404B5368"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63ED99C4" w14:textId="1C8B8CA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2D30DE01" w14:textId="24CB865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kw.2022</w:t>
                  </w:r>
                </w:p>
              </w:tc>
              <w:tc>
                <w:tcPr>
                  <w:tcW w:w="1134" w:type="dxa"/>
                  <w:tcBorders>
                    <w:top w:val="nil"/>
                    <w:left w:val="nil"/>
                    <w:bottom w:val="single" w:sz="4" w:space="0" w:color="auto"/>
                    <w:right w:val="single" w:sz="4" w:space="0" w:color="auto"/>
                  </w:tcBorders>
                  <w:shd w:val="clear" w:color="auto" w:fill="auto"/>
                  <w:vAlign w:val="center"/>
                  <w:hideMark/>
                </w:tcPr>
                <w:p w14:paraId="46C1921F" w14:textId="2EEE5F8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0B0F8D3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6EA99500" w14:textId="2F793C99"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9 etatów KSC w skali 12 m-cy (z DWR</w:t>
                  </w:r>
                  <w:r>
                    <w:rPr>
                      <w:rFonts w:eastAsia="Times New Roman" w:cs="Times New Roman"/>
                      <w:b/>
                      <w:bCs/>
                      <w:color w:val="000000"/>
                      <w:sz w:val="18"/>
                      <w:szCs w:val="18"/>
                    </w:rPr>
                    <w:t xml:space="preserve"> dla 8 etatów</w:t>
                  </w:r>
                  <w:r w:rsidRPr="00E11130">
                    <w:rPr>
                      <w:rFonts w:eastAsia="Times New Roman" w:cs="Times New Roman"/>
                      <w:b/>
                      <w:bCs/>
                      <w:color w:val="000000"/>
                      <w:sz w:val="18"/>
                      <w:szCs w:val="18"/>
                    </w:rPr>
                    <w:t>)</w:t>
                  </w:r>
                </w:p>
              </w:tc>
            </w:tr>
            <w:tr w:rsidR="007532AB" w:rsidRPr="00E11130" w14:paraId="6835A940"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1E6A7443"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74FAF84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B1439C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1FA3E5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17E16601"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DAAF7CE" w14:textId="09D27072"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52F187D4"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16F4C2BC" w14:textId="693068B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46DF5D4B" w14:textId="012DB07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020AEC87" w14:textId="50D6738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7820A831" w14:textId="5855109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972</w:t>
                  </w:r>
                </w:p>
              </w:tc>
            </w:tr>
            <w:tr w:rsidR="007532AB" w:rsidRPr="00E11130" w14:paraId="1458B5A1"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D12E4B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18DC3A3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53B1F04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5B924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007C0B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479810E" w14:textId="526AA88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73</w:t>
                  </w:r>
                </w:p>
              </w:tc>
            </w:tr>
            <w:tr w:rsidR="007532AB" w:rsidRPr="00E11130" w14:paraId="71B1970A"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2A3C962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7159975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150F7C1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0E171FBF"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2829A32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6063DA11" w14:textId="60CF3E6B"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180</w:t>
                  </w:r>
                </w:p>
              </w:tc>
            </w:tr>
            <w:tr w:rsidR="007532AB" w:rsidRPr="00E11130" w14:paraId="1A055CA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44FC44CE" w14:textId="7297B3E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1CE87B83"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1DD720EA"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6116800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373B8B21"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02553600" w14:textId="099A7BB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26</w:t>
                  </w:r>
                </w:p>
              </w:tc>
            </w:tr>
            <w:tr w:rsidR="007532AB" w:rsidRPr="00E11130" w14:paraId="6A4C23F9" w14:textId="77777777" w:rsidTr="00E11130">
              <w:trPr>
                <w:trHeight w:val="300"/>
              </w:trPr>
              <w:tc>
                <w:tcPr>
                  <w:tcW w:w="1787" w:type="dxa"/>
                  <w:tcBorders>
                    <w:top w:val="nil"/>
                    <w:left w:val="nil"/>
                    <w:bottom w:val="nil"/>
                    <w:right w:val="nil"/>
                  </w:tcBorders>
                  <w:shd w:val="clear" w:color="auto" w:fill="auto"/>
                  <w:noWrap/>
                  <w:vAlign w:val="bottom"/>
                  <w:hideMark/>
                </w:tcPr>
                <w:p w14:paraId="5ABFD3B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0C2A5061"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4E5A497E"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78C23FB6"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F131A4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2AE33A9B" w14:textId="0689FEF2"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1 251</w:t>
                  </w:r>
                </w:p>
              </w:tc>
            </w:tr>
            <w:tr w:rsidR="007532AB" w:rsidRPr="00E11130" w14:paraId="3A2E71C1" w14:textId="77777777" w:rsidTr="00E11130">
              <w:trPr>
                <w:trHeight w:val="300"/>
              </w:trPr>
              <w:tc>
                <w:tcPr>
                  <w:tcW w:w="1787" w:type="dxa"/>
                  <w:tcBorders>
                    <w:top w:val="nil"/>
                    <w:left w:val="nil"/>
                    <w:bottom w:val="nil"/>
                    <w:right w:val="nil"/>
                  </w:tcBorders>
                  <w:shd w:val="clear" w:color="auto" w:fill="auto"/>
                  <w:noWrap/>
                  <w:vAlign w:val="bottom"/>
                  <w:hideMark/>
                </w:tcPr>
                <w:p w14:paraId="060CF53B"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3A288FE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41249476"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33605805"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121D99E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center"/>
                  <w:hideMark/>
                </w:tcPr>
                <w:p w14:paraId="14A5DD7B"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722F5B71"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22CECA30" w14:textId="30903C37"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10 etatów KSC w skali 12 m-cy (rok 5 - 2028)</w:t>
                  </w:r>
                </w:p>
              </w:tc>
            </w:tr>
            <w:tr w:rsidR="007532AB" w:rsidRPr="00E11130" w14:paraId="02C0B36D"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DD3ED3F" w14:textId="770631FF"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664152A4" w14:textId="57C81B3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730C45BA" w14:textId="525AEE42"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38DBDCD8" w14:textId="2CDAB52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65B41013"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47D99F4A" w14:textId="241D2792"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10 etatów KSC w skali 12 m-cy (z DWR</w:t>
                  </w:r>
                  <w:r>
                    <w:rPr>
                      <w:rFonts w:eastAsia="Times New Roman" w:cs="Times New Roman"/>
                      <w:b/>
                      <w:bCs/>
                      <w:color w:val="000000"/>
                      <w:sz w:val="18"/>
                      <w:szCs w:val="18"/>
                    </w:rPr>
                    <w:t xml:space="preserve"> dla 9 etatów</w:t>
                  </w:r>
                  <w:r w:rsidRPr="00E11130">
                    <w:rPr>
                      <w:rFonts w:eastAsia="Times New Roman" w:cs="Times New Roman"/>
                      <w:b/>
                      <w:bCs/>
                      <w:color w:val="000000"/>
                      <w:sz w:val="18"/>
                      <w:szCs w:val="18"/>
                    </w:rPr>
                    <w:t>)</w:t>
                  </w:r>
                </w:p>
              </w:tc>
            </w:tr>
            <w:tr w:rsidR="007532AB" w:rsidRPr="00E11130" w14:paraId="2B54241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35B0126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3EBE9691"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A31C6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C85928D"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4F45665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5F91304" w14:textId="5D64AF7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4F5B750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02A5F2C1" w14:textId="7AAC9D0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335E7BBA" w14:textId="4B112135"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4ABD6F74" w14:textId="6B33DE45"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6069A0A9" w14:textId="7F88CF8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1 080</w:t>
                  </w:r>
                </w:p>
              </w:tc>
            </w:tr>
            <w:tr w:rsidR="007532AB" w:rsidRPr="00E11130" w14:paraId="30F85092"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473BD2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572C0E5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502F91B3"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4BF5554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DD6133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38ABC6D9" w14:textId="3E8D5FD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83</w:t>
                  </w:r>
                </w:p>
              </w:tc>
            </w:tr>
            <w:tr w:rsidR="007532AB" w:rsidRPr="00E11130" w14:paraId="1F26AB8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137AD6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10053E3D"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34316581"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660FDA4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0936D761"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7F14D14" w14:textId="50A22B72"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200</w:t>
                  </w:r>
                </w:p>
              </w:tc>
            </w:tr>
            <w:tr w:rsidR="007532AB" w:rsidRPr="00E11130" w14:paraId="42ECDF39"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298ECA16" w14:textId="1581768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65EB6D6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13D015B5"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DD70B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3A39B32F"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529BED56" w14:textId="78698FA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28</w:t>
                  </w:r>
                </w:p>
              </w:tc>
            </w:tr>
            <w:tr w:rsidR="007532AB" w:rsidRPr="00E11130" w14:paraId="210500E5" w14:textId="77777777" w:rsidTr="00E11130">
              <w:trPr>
                <w:trHeight w:val="300"/>
              </w:trPr>
              <w:tc>
                <w:tcPr>
                  <w:tcW w:w="1787" w:type="dxa"/>
                  <w:tcBorders>
                    <w:top w:val="nil"/>
                    <w:left w:val="nil"/>
                    <w:bottom w:val="nil"/>
                    <w:right w:val="nil"/>
                  </w:tcBorders>
                  <w:shd w:val="clear" w:color="auto" w:fill="auto"/>
                  <w:noWrap/>
                  <w:vAlign w:val="bottom"/>
                  <w:hideMark/>
                </w:tcPr>
                <w:p w14:paraId="143C658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6C0F9B05"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2DBB0AC0"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7B982C0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17DD34C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1C3E6713" w14:textId="04B9C2D5"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1 391</w:t>
                  </w:r>
                </w:p>
              </w:tc>
            </w:tr>
            <w:tr w:rsidR="007532AB" w:rsidRPr="00E11130" w14:paraId="6A830460" w14:textId="77777777" w:rsidTr="00E11130">
              <w:trPr>
                <w:trHeight w:val="300"/>
              </w:trPr>
              <w:tc>
                <w:tcPr>
                  <w:tcW w:w="1787" w:type="dxa"/>
                  <w:tcBorders>
                    <w:top w:val="nil"/>
                    <w:left w:val="nil"/>
                    <w:bottom w:val="nil"/>
                    <w:right w:val="nil"/>
                  </w:tcBorders>
                  <w:shd w:val="clear" w:color="auto" w:fill="auto"/>
                  <w:noWrap/>
                  <w:vAlign w:val="bottom"/>
                  <w:hideMark/>
                </w:tcPr>
                <w:p w14:paraId="5800257C"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18AAED2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7058A23E"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135523C1"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449671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4F041413"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5AA3D627"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3F4BD129" w14:textId="31EAF48E"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11 etatów KSC w skali 12 m-cy (rok 6 - 2029)</w:t>
                  </w:r>
                </w:p>
              </w:tc>
            </w:tr>
            <w:tr w:rsidR="007532AB" w:rsidRPr="00E11130" w14:paraId="677EFDF9"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A5B8237" w14:textId="418D9CC0"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w:t>
                  </w:r>
                  <w:r>
                    <w:rPr>
                      <w:rFonts w:eastAsia="Times New Roman" w:cs="Times New Roman"/>
                      <w:b/>
                      <w:bCs/>
                      <w:color w:val="000000"/>
                      <w:sz w:val="18"/>
                      <w:szCs w:val="18"/>
                    </w:rPr>
                    <w:t xml:space="preserve">eń do OSR - na podstawie Rb-70 </w:t>
                  </w:r>
                  <w:r w:rsidRPr="00E11130">
                    <w:rPr>
                      <w:rFonts w:eastAsia="Times New Roman" w:cs="Times New Roman"/>
                      <w:b/>
                      <w:bCs/>
                      <w:color w:val="000000"/>
                      <w:sz w:val="18"/>
                      <w:szCs w:val="18"/>
                    </w:rPr>
                    <w:t>IV kwartał 2022</w:t>
                  </w:r>
                </w:p>
              </w:tc>
              <w:tc>
                <w:tcPr>
                  <w:tcW w:w="851" w:type="dxa"/>
                  <w:tcBorders>
                    <w:top w:val="nil"/>
                    <w:left w:val="nil"/>
                    <w:bottom w:val="single" w:sz="4" w:space="0" w:color="auto"/>
                    <w:right w:val="single" w:sz="4" w:space="0" w:color="auto"/>
                  </w:tcBorders>
                  <w:shd w:val="clear" w:color="auto" w:fill="auto"/>
                  <w:vAlign w:val="center"/>
                  <w:hideMark/>
                </w:tcPr>
                <w:p w14:paraId="039F4EFA" w14:textId="59FB28F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11A57BE1" w14:textId="319F9E9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kw.2022</w:t>
                  </w:r>
                </w:p>
              </w:tc>
              <w:tc>
                <w:tcPr>
                  <w:tcW w:w="1134" w:type="dxa"/>
                  <w:tcBorders>
                    <w:top w:val="nil"/>
                    <w:left w:val="nil"/>
                    <w:bottom w:val="single" w:sz="4" w:space="0" w:color="auto"/>
                    <w:right w:val="single" w:sz="4" w:space="0" w:color="auto"/>
                  </w:tcBorders>
                  <w:shd w:val="clear" w:color="auto" w:fill="auto"/>
                  <w:vAlign w:val="center"/>
                  <w:hideMark/>
                </w:tcPr>
                <w:p w14:paraId="148E1CEA" w14:textId="0B8EE62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2AF7FD0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06B1A120" w14:textId="7F88995B"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11 etatów KSC w skali 12 m-cy (z DWR</w:t>
                  </w:r>
                  <w:r>
                    <w:rPr>
                      <w:rFonts w:eastAsia="Times New Roman" w:cs="Times New Roman"/>
                      <w:b/>
                      <w:bCs/>
                      <w:color w:val="000000"/>
                      <w:sz w:val="18"/>
                      <w:szCs w:val="18"/>
                    </w:rPr>
                    <w:t xml:space="preserve"> dla 10 etatów</w:t>
                  </w:r>
                  <w:r w:rsidRPr="00E11130">
                    <w:rPr>
                      <w:rFonts w:eastAsia="Times New Roman" w:cs="Times New Roman"/>
                      <w:b/>
                      <w:bCs/>
                      <w:color w:val="000000"/>
                      <w:sz w:val="18"/>
                      <w:szCs w:val="18"/>
                    </w:rPr>
                    <w:t>)</w:t>
                  </w:r>
                </w:p>
              </w:tc>
            </w:tr>
            <w:tr w:rsidR="007532AB" w:rsidRPr="00E11130" w14:paraId="74B6F9BC"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0DE21FE3"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36EE068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47E4D2D"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C639E2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5C6D6486"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2A978AA6" w14:textId="6F9DAA9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12AEC4C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55BF7176" w14:textId="0EA6D6E6"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2C70A90A" w14:textId="318F0042"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7911B10E" w14:textId="5609C17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36C270C7" w14:textId="6407279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1 188</w:t>
                  </w:r>
                </w:p>
              </w:tc>
            </w:tr>
            <w:tr w:rsidR="007532AB" w:rsidRPr="00E11130" w14:paraId="0ED3B8F4"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BB6478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4AE35153"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0DB3AF0D"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414F4DA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A62E7E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5F670911" w14:textId="0187929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92</w:t>
                  </w:r>
                </w:p>
              </w:tc>
            </w:tr>
            <w:tr w:rsidR="007532AB" w:rsidRPr="00E11130" w14:paraId="191ACBAC"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6B6B321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0A6CB6A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07A8F879"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7850E377"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52333E32"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2E5E8A5" w14:textId="4910966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220</w:t>
                  </w:r>
                </w:p>
              </w:tc>
            </w:tr>
            <w:tr w:rsidR="007532AB" w:rsidRPr="00E11130" w14:paraId="14CF9238"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bottom"/>
                  <w:hideMark/>
                </w:tcPr>
                <w:p w14:paraId="34045522" w14:textId="20CF05D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2542D66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10286AEA"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799A54A4"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30AE1C47"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227F9DA5" w14:textId="1C66F9E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31</w:t>
                  </w:r>
                </w:p>
              </w:tc>
            </w:tr>
            <w:tr w:rsidR="007532AB" w:rsidRPr="00E11130" w14:paraId="34B783A8" w14:textId="77777777" w:rsidTr="00E11130">
              <w:trPr>
                <w:trHeight w:val="300"/>
              </w:trPr>
              <w:tc>
                <w:tcPr>
                  <w:tcW w:w="1787" w:type="dxa"/>
                  <w:tcBorders>
                    <w:top w:val="nil"/>
                    <w:left w:val="nil"/>
                    <w:bottom w:val="nil"/>
                    <w:right w:val="nil"/>
                  </w:tcBorders>
                  <w:shd w:val="clear" w:color="auto" w:fill="auto"/>
                  <w:noWrap/>
                  <w:vAlign w:val="bottom"/>
                  <w:hideMark/>
                </w:tcPr>
                <w:p w14:paraId="7A29288F"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1805FB5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38875EEB"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3C5126F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1050205B"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6CF601FF" w14:textId="358E34B0"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1 531</w:t>
                  </w:r>
                </w:p>
              </w:tc>
            </w:tr>
            <w:tr w:rsidR="007532AB" w:rsidRPr="00E11130" w14:paraId="613B3A02" w14:textId="77777777" w:rsidTr="00E11130">
              <w:trPr>
                <w:trHeight w:val="300"/>
              </w:trPr>
              <w:tc>
                <w:tcPr>
                  <w:tcW w:w="1787" w:type="dxa"/>
                  <w:tcBorders>
                    <w:top w:val="nil"/>
                    <w:left w:val="nil"/>
                    <w:bottom w:val="nil"/>
                    <w:right w:val="nil"/>
                  </w:tcBorders>
                  <w:shd w:val="clear" w:color="auto" w:fill="auto"/>
                  <w:noWrap/>
                  <w:vAlign w:val="bottom"/>
                  <w:hideMark/>
                </w:tcPr>
                <w:p w14:paraId="7F428CC8"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371FE32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D5AD50A"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00ABDA78"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5BE8EE68"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120EEA32"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3B2D5559"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382D4142" w14:textId="20FFA7D1"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12 etatów KSC w skali 12 m-cy (rok 7 - 2030)</w:t>
                  </w:r>
                </w:p>
              </w:tc>
            </w:tr>
            <w:tr w:rsidR="007532AB" w:rsidRPr="00E11130" w14:paraId="2DB6D02A"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52FFF0A" w14:textId="7920AD16"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2D57F5F4" w14:textId="17FF2C9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w:t>
                  </w:r>
                  <w:r>
                    <w:rPr>
                      <w:rFonts w:eastAsia="Times New Roman" w:cs="Times New Roman"/>
                      <w:color w:val="000000"/>
                      <w:sz w:val="18"/>
                      <w:szCs w:val="18"/>
                    </w:rPr>
                    <w:t xml:space="preserve"> </w:t>
                  </w:r>
                  <w:r w:rsidRPr="00E11130">
                    <w:rPr>
                      <w:rFonts w:eastAsia="Times New Roman" w:cs="Times New Roman"/>
                      <w:color w:val="000000"/>
                      <w:sz w:val="18"/>
                      <w:szCs w:val="18"/>
                    </w:rPr>
                    <w:t>budżet.</w:t>
                  </w:r>
                </w:p>
              </w:tc>
              <w:tc>
                <w:tcPr>
                  <w:tcW w:w="1134" w:type="dxa"/>
                  <w:tcBorders>
                    <w:top w:val="nil"/>
                    <w:left w:val="nil"/>
                    <w:bottom w:val="single" w:sz="4" w:space="0" w:color="auto"/>
                    <w:right w:val="single" w:sz="4" w:space="0" w:color="auto"/>
                  </w:tcBorders>
                  <w:shd w:val="clear" w:color="auto" w:fill="auto"/>
                  <w:vAlign w:val="center"/>
                  <w:hideMark/>
                </w:tcPr>
                <w:p w14:paraId="22836AE2" w14:textId="636FF2A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26A82064" w14:textId="067F68A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1AEF7053"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6EB4EB61" w14:textId="523ADCA4"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12 etatów KSC w skali 12 m-cy (z DWR</w:t>
                  </w:r>
                  <w:r>
                    <w:rPr>
                      <w:rFonts w:eastAsia="Times New Roman" w:cs="Times New Roman"/>
                      <w:b/>
                      <w:bCs/>
                      <w:color w:val="000000"/>
                      <w:sz w:val="18"/>
                      <w:szCs w:val="18"/>
                    </w:rPr>
                    <w:t xml:space="preserve"> dla 11 etatów</w:t>
                  </w:r>
                  <w:r w:rsidRPr="00E11130">
                    <w:rPr>
                      <w:rFonts w:eastAsia="Times New Roman" w:cs="Times New Roman"/>
                      <w:b/>
                      <w:bCs/>
                      <w:color w:val="000000"/>
                      <w:sz w:val="18"/>
                      <w:szCs w:val="18"/>
                    </w:rPr>
                    <w:t>)</w:t>
                  </w:r>
                </w:p>
              </w:tc>
            </w:tr>
            <w:tr w:rsidR="007532AB" w:rsidRPr="00E11130" w14:paraId="15664B4E"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595CB2B3"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544055E4"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2BF60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889469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33F68AB4"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0639C25" w14:textId="77DC495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586A02B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75F821EA" w14:textId="58F582C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4B3A079E" w14:textId="5DA75B9E"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0C430AC0" w14:textId="7872AD3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03000CC5" w14:textId="07AB884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1 296</w:t>
                  </w:r>
                </w:p>
              </w:tc>
            </w:tr>
            <w:tr w:rsidR="007532AB" w:rsidRPr="00E11130" w14:paraId="59D7D132"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1433EA8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26B8B39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16CEF92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1D384D3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3F6215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646A3749" w14:textId="5A97E0E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101</w:t>
                  </w:r>
                </w:p>
              </w:tc>
            </w:tr>
            <w:tr w:rsidR="007532AB" w:rsidRPr="00E11130" w14:paraId="0C377BCE"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78157A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480CC8D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2D81767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A95F1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2EB28665"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1DAA6A3" w14:textId="0F9C31A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240</w:t>
                  </w:r>
                </w:p>
              </w:tc>
            </w:tr>
            <w:tr w:rsidR="007532AB" w:rsidRPr="00E11130" w14:paraId="76DC1677"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7955757" w14:textId="20EB706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474485B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2ACA808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5B21DC7"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0D2D278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18510290" w14:textId="762A63F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34</w:t>
                  </w:r>
                </w:p>
              </w:tc>
            </w:tr>
            <w:tr w:rsidR="007532AB" w:rsidRPr="00E11130" w14:paraId="41DD74EF" w14:textId="77777777" w:rsidTr="00E11130">
              <w:trPr>
                <w:trHeight w:val="300"/>
              </w:trPr>
              <w:tc>
                <w:tcPr>
                  <w:tcW w:w="1787" w:type="dxa"/>
                  <w:tcBorders>
                    <w:top w:val="nil"/>
                    <w:left w:val="nil"/>
                    <w:bottom w:val="nil"/>
                    <w:right w:val="nil"/>
                  </w:tcBorders>
                  <w:shd w:val="clear" w:color="auto" w:fill="auto"/>
                  <w:noWrap/>
                  <w:vAlign w:val="bottom"/>
                  <w:hideMark/>
                </w:tcPr>
                <w:p w14:paraId="7456D05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4184407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09A94C54"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3EE1F01B"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7CC5217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31A27E8B" w14:textId="53498AFD"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1 671</w:t>
                  </w:r>
                </w:p>
              </w:tc>
            </w:tr>
            <w:tr w:rsidR="007532AB" w:rsidRPr="00E11130" w14:paraId="61846996" w14:textId="77777777" w:rsidTr="00E11130">
              <w:trPr>
                <w:trHeight w:val="300"/>
              </w:trPr>
              <w:tc>
                <w:tcPr>
                  <w:tcW w:w="1787" w:type="dxa"/>
                  <w:tcBorders>
                    <w:top w:val="nil"/>
                    <w:left w:val="nil"/>
                    <w:bottom w:val="nil"/>
                    <w:right w:val="nil"/>
                  </w:tcBorders>
                  <w:shd w:val="clear" w:color="auto" w:fill="auto"/>
                  <w:noWrap/>
                  <w:vAlign w:val="bottom"/>
                  <w:hideMark/>
                </w:tcPr>
                <w:p w14:paraId="67DBD7E1"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77F5B185"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27A832E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7AB59DD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2475E7E0"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5A4D4607"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5FFC36E0"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2FD380AD" w14:textId="22FD0AF9"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13 etatów KSC w skali 12 m-cy (rok 8 - 2031)</w:t>
                  </w:r>
                </w:p>
              </w:tc>
            </w:tr>
            <w:tr w:rsidR="007532AB" w:rsidRPr="00E11130" w14:paraId="3D86C312"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9D21AE5" w14:textId="25FE345C"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w:t>
                  </w:r>
                  <w:r>
                    <w:rPr>
                      <w:rFonts w:eastAsia="Times New Roman" w:cs="Times New Roman"/>
                      <w:b/>
                      <w:bCs/>
                      <w:color w:val="000000"/>
                      <w:sz w:val="18"/>
                      <w:szCs w:val="18"/>
                    </w:rPr>
                    <w:t xml:space="preserve">eń do OSR - na podstawie Rb-70 </w:t>
                  </w:r>
                  <w:r w:rsidRPr="00E11130">
                    <w:rPr>
                      <w:rFonts w:eastAsia="Times New Roman" w:cs="Times New Roman"/>
                      <w:b/>
                      <w:bCs/>
                      <w:color w:val="000000"/>
                      <w:sz w:val="18"/>
                      <w:szCs w:val="18"/>
                    </w:rPr>
                    <w:t>IV kwartał 2022</w:t>
                  </w:r>
                </w:p>
              </w:tc>
              <w:tc>
                <w:tcPr>
                  <w:tcW w:w="851" w:type="dxa"/>
                  <w:tcBorders>
                    <w:top w:val="nil"/>
                    <w:left w:val="nil"/>
                    <w:bottom w:val="single" w:sz="4" w:space="0" w:color="auto"/>
                    <w:right w:val="single" w:sz="4" w:space="0" w:color="auto"/>
                  </w:tcBorders>
                  <w:shd w:val="clear" w:color="auto" w:fill="auto"/>
                  <w:vAlign w:val="center"/>
                  <w:hideMark/>
                </w:tcPr>
                <w:p w14:paraId="3C5EB622" w14:textId="32CA494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187E0242" w14:textId="0C01EDC6"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35295187" w14:textId="6980A98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0D2980B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0C3A8ED9" w14:textId="27F814D6"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13 etatów KSC w skali 12 m-cy (z DWR</w:t>
                  </w:r>
                  <w:r>
                    <w:rPr>
                      <w:rFonts w:eastAsia="Times New Roman" w:cs="Times New Roman"/>
                      <w:b/>
                      <w:bCs/>
                      <w:color w:val="000000"/>
                      <w:sz w:val="18"/>
                      <w:szCs w:val="18"/>
                    </w:rPr>
                    <w:t xml:space="preserve"> dla 12 etatów</w:t>
                  </w:r>
                  <w:r w:rsidRPr="00E11130">
                    <w:rPr>
                      <w:rFonts w:eastAsia="Times New Roman" w:cs="Times New Roman"/>
                      <w:b/>
                      <w:bCs/>
                      <w:color w:val="000000"/>
                      <w:sz w:val="18"/>
                      <w:szCs w:val="18"/>
                    </w:rPr>
                    <w:t>)</w:t>
                  </w:r>
                </w:p>
              </w:tc>
            </w:tr>
            <w:tr w:rsidR="007532AB" w:rsidRPr="00E11130" w14:paraId="1DB82E11"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75F651C4"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05ABD04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B62FCC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F8934B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132ABA4A"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DCC16FF" w14:textId="75B3C3B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599AFFC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2A53C957" w14:textId="0C69299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6B5FEA17" w14:textId="396C558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59A46C3D" w14:textId="0C1ACCB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13D951FB" w14:textId="5CF059D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1 404</w:t>
                  </w:r>
                </w:p>
              </w:tc>
            </w:tr>
            <w:tr w:rsidR="007532AB" w:rsidRPr="00E11130" w14:paraId="50B77DBB"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93973E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5C1F9E7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440FDEC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FE2491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719E3AD"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574016CC" w14:textId="0BB3CE5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110</w:t>
                  </w:r>
                </w:p>
              </w:tc>
            </w:tr>
            <w:tr w:rsidR="007532AB" w:rsidRPr="00E11130" w14:paraId="5F582F0A"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2A5F3ECF"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22F956C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5283DAE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770AC8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28967E4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3076F9C1" w14:textId="0BFFF11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260</w:t>
                  </w:r>
                </w:p>
              </w:tc>
            </w:tr>
            <w:tr w:rsidR="007532AB" w:rsidRPr="00E11130" w14:paraId="55A1E8CC"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551168E0" w14:textId="7893455B"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17F135D7"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1BAB3221"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11AED83C"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7BAA2AC5"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4A37B184" w14:textId="74D1DBFE"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w:t>
                  </w:r>
                </w:p>
              </w:tc>
            </w:tr>
            <w:tr w:rsidR="007532AB" w:rsidRPr="00E11130" w14:paraId="4C835F36" w14:textId="77777777" w:rsidTr="00E11130">
              <w:trPr>
                <w:trHeight w:val="300"/>
              </w:trPr>
              <w:tc>
                <w:tcPr>
                  <w:tcW w:w="1787" w:type="dxa"/>
                  <w:tcBorders>
                    <w:top w:val="nil"/>
                    <w:left w:val="nil"/>
                    <w:bottom w:val="nil"/>
                    <w:right w:val="nil"/>
                  </w:tcBorders>
                  <w:shd w:val="clear" w:color="auto" w:fill="auto"/>
                  <w:noWrap/>
                  <w:vAlign w:val="bottom"/>
                  <w:hideMark/>
                </w:tcPr>
                <w:p w14:paraId="3F6CBDC4"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49B8D20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25D6D58"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6538A1E8"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48A8326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77A33DB6" w14:textId="31F1A625"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1 811</w:t>
                  </w:r>
                </w:p>
              </w:tc>
            </w:tr>
            <w:tr w:rsidR="007532AB" w:rsidRPr="00E11130" w14:paraId="7434B2DD" w14:textId="77777777" w:rsidTr="00E11130">
              <w:trPr>
                <w:trHeight w:val="300"/>
              </w:trPr>
              <w:tc>
                <w:tcPr>
                  <w:tcW w:w="1787" w:type="dxa"/>
                  <w:tcBorders>
                    <w:top w:val="nil"/>
                    <w:left w:val="nil"/>
                    <w:bottom w:val="nil"/>
                    <w:right w:val="nil"/>
                  </w:tcBorders>
                  <w:shd w:val="clear" w:color="auto" w:fill="auto"/>
                  <w:noWrap/>
                  <w:vAlign w:val="bottom"/>
                  <w:hideMark/>
                </w:tcPr>
                <w:p w14:paraId="66E86A44"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7D418FC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7351C9B"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2B974E6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66A6EAE7"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2C8E8FF0"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4737E87C"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24BECFD5" w14:textId="2809E8BF"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14 etatów KSC w skali 12 m-cy (rok 9 - 2032)</w:t>
                  </w:r>
                </w:p>
              </w:tc>
            </w:tr>
            <w:tr w:rsidR="007532AB" w:rsidRPr="00E11130" w14:paraId="668B6209"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6DEA92D" w14:textId="45A8327C"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670CEBCD" w14:textId="6C852F0D"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75BF0A1C" w14:textId="0D81A94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3CF3D0EE" w14:textId="2906462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70A2FE91"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380D0526" w14:textId="6C035B8B"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14 etatów KSC w skali 12 m-cy (z DWR</w:t>
                  </w:r>
                  <w:r>
                    <w:rPr>
                      <w:rFonts w:eastAsia="Times New Roman" w:cs="Times New Roman"/>
                      <w:b/>
                      <w:bCs/>
                      <w:color w:val="000000"/>
                      <w:sz w:val="18"/>
                      <w:szCs w:val="18"/>
                    </w:rPr>
                    <w:t xml:space="preserve"> dla 13 etatów</w:t>
                  </w:r>
                  <w:r w:rsidRPr="00E11130">
                    <w:rPr>
                      <w:rFonts w:eastAsia="Times New Roman" w:cs="Times New Roman"/>
                      <w:b/>
                      <w:bCs/>
                      <w:color w:val="000000"/>
                      <w:sz w:val="18"/>
                      <w:szCs w:val="18"/>
                    </w:rPr>
                    <w:t>)</w:t>
                  </w:r>
                </w:p>
              </w:tc>
            </w:tr>
            <w:tr w:rsidR="007532AB" w:rsidRPr="00E11130" w14:paraId="5E52B705"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0C3CEE4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188EE38E"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CBC816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6BDE6F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738E43F2"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26442F7B" w14:textId="07EC7725"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20DE546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0C58E1A4" w14:textId="15A373A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48D50B79" w14:textId="3A9788E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3025F1F5" w14:textId="626C069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3AC0050B" w14:textId="1EF1B98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1 512</w:t>
                  </w:r>
                </w:p>
              </w:tc>
            </w:tr>
            <w:tr w:rsidR="007532AB" w:rsidRPr="00E11130" w14:paraId="12D33001"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3D189A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089ADDD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383DDCA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84687B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04D19FA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78E56150" w14:textId="3A68736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119</w:t>
                  </w:r>
                </w:p>
              </w:tc>
            </w:tr>
            <w:tr w:rsidR="007532AB" w:rsidRPr="00E11130" w14:paraId="6504E6D3"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AE5463E"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58C494F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089466EF"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403D9B11"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672B684"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49D0A98A" w14:textId="5420D338"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280</w:t>
                  </w:r>
                </w:p>
              </w:tc>
            </w:tr>
            <w:tr w:rsidR="007532AB" w:rsidRPr="00E11130" w14:paraId="7AF31122"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081828BD" w14:textId="2263763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21DF865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1731B3D7"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68CCF8B9"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1A6EC533"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268FEFE6" w14:textId="1F9247E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Pr>
                      <w:rFonts w:eastAsia="Times New Roman" w:cs="Times New Roman"/>
                      <w:color w:val="000000"/>
                      <w:sz w:val="18"/>
                      <w:szCs w:val="18"/>
                    </w:rPr>
                    <w:t>40</w:t>
                  </w:r>
                </w:p>
              </w:tc>
            </w:tr>
            <w:tr w:rsidR="007532AB" w:rsidRPr="00E11130" w14:paraId="4546FE6F" w14:textId="77777777" w:rsidTr="00E11130">
              <w:trPr>
                <w:trHeight w:val="300"/>
              </w:trPr>
              <w:tc>
                <w:tcPr>
                  <w:tcW w:w="1787" w:type="dxa"/>
                  <w:tcBorders>
                    <w:top w:val="nil"/>
                    <w:left w:val="nil"/>
                    <w:bottom w:val="nil"/>
                    <w:right w:val="nil"/>
                  </w:tcBorders>
                  <w:shd w:val="clear" w:color="auto" w:fill="auto"/>
                  <w:noWrap/>
                  <w:vAlign w:val="bottom"/>
                  <w:hideMark/>
                </w:tcPr>
                <w:p w14:paraId="59E5499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4C456359"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1D013556"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267DC36"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7577F7C1"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166895C9" w14:textId="0A53F525"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1 951</w:t>
                  </w:r>
                </w:p>
              </w:tc>
            </w:tr>
            <w:tr w:rsidR="007532AB" w:rsidRPr="00E11130" w14:paraId="5356F699" w14:textId="77777777" w:rsidTr="00E11130">
              <w:trPr>
                <w:trHeight w:val="300"/>
              </w:trPr>
              <w:tc>
                <w:tcPr>
                  <w:tcW w:w="1787" w:type="dxa"/>
                  <w:tcBorders>
                    <w:top w:val="nil"/>
                    <w:left w:val="nil"/>
                    <w:bottom w:val="nil"/>
                    <w:right w:val="nil"/>
                  </w:tcBorders>
                  <w:shd w:val="clear" w:color="auto" w:fill="auto"/>
                  <w:noWrap/>
                  <w:vAlign w:val="bottom"/>
                  <w:hideMark/>
                </w:tcPr>
                <w:p w14:paraId="4F9BCDED" w14:textId="777777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p>
              </w:tc>
              <w:tc>
                <w:tcPr>
                  <w:tcW w:w="851" w:type="dxa"/>
                  <w:tcBorders>
                    <w:top w:val="nil"/>
                    <w:left w:val="nil"/>
                    <w:bottom w:val="nil"/>
                    <w:right w:val="nil"/>
                  </w:tcBorders>
                  <w:shd w:val="clear" w:color="auto" w:fill="auto"/>
                  <w:noWrap/>
                  <w:vAlign w:val="bottom"/>
                  <w:hideMark/>
                </w:tcPr>
                <w:p w14:paraId="2737E2A1"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25FDF2B0"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1A54064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2480CDE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nil"/>
                    <w:bottom w:val="nil"/>
                    <w:right w:val="nil"/>
                  </w:tcBorders>
                  <w:shd w:val="clear" w:color="auto" w:fill="auto"/>
                  <w:noWrap/>
                  <w:vAlign w:val="bottom"/>
                  <w:hideMark/>
                </w:tcPr>
                <w:p w14:paraId="7C689632" w14:textId="77777777" w:rsidR="007532AB" w:rsidRPr="00E11130" w:rsidRDefault="007532AB" w:rsidP="007532AB">
                  <w:pPr>
                    <w:widowControl/>
                    <w:autoSpaceDE/>
                    <w:autoSpaceDN/>
                    <w:adjustRightInd/>
                    <w:spacing w:line="240" w:lineRule="auto"/>
                    <w:rPr>
                      <w:rFonts w:eastAsia="Times New Roman" w:cs="Times New Roman"/>
                      <w:sz w:val="20"/>
                    </w:rPr>
                  </w:pPr>
                </w:p>
              </w:tc>
            </w:tr>
            <w:tr w:rsidR="007532AB" w:rsidRPr="00E11130" w14:paraId="726BFED6" w14:textId="77777777" w:rsidTr="002546F0">
              <w:trPr>
                <w:trHeight w:val="300"/>
              </w:trPr>
              <w:tc>
                <w:tcPr>
                  <w:tcW w:w="7599" w:type="dxa"/>
                  <w:gridSpan w:val="6"/>
                  <w:tcBorders>
                    <w:top w:val="single" w:sz="4" w:space="0" w:color="auto"/>
                    <w:left w:val="single" w:sz="4" w:space="0" w:color="auto"/>
                    <w:bottom w:val="single" w:sz="4" w:space="0" w:color="auto"/>
                    <w:right w:val="single" w:sz="4" w:space="0" w:color="000000"/>
                  </w:tcBorders>
                  <w:shd w:val="clear" w:color="000000" w:fill="FFC000"/>
                  <w:noWrap/>
                  <w:vAlign w:val="center"/>
                  <w:hideMark/>
                </w:tcPr>
                <w:p w14:paraId="4A3F1DEE" w14:textId="53FB512B" w:rsidR="007532AB" w:rsidRPr="00E11130" w:rsidRDefault="007532AB" w:rsidP="007532AB">
                  <w:pPr>
                    <w:widowControl/>
                    <w:autoSpaceDE/>
                    <w:autoSpaceDN/>
                    <w:adjustRightInd/>
                    <w:spacing w:line="240" w:lineRule="auto"/>
                    <w:jc w:val="center"/>
                    <w:rPr>
                      <w:rFonts w:eastAsia="Times New Roman" w:cs="Times New Roman"/>
                      <w:b/>
                      <w:bCs/>
                      <w:color w:val="000000"/>
                      <w:sz w:val="22"/>
                      <w:szCs w:val="22"/>
                    </w:rPr>
                  </w:pPr>
                  <w:r w:rsidRPr="00E11130">
                    <w:rPr>
                      <w:rFonts w:eastAsia="Times New Roman" w:cs="Times New Roman"/>
                      <w:b/>
                      <w:bCs/>
                      <w:color w:val="000000"/>
                      <w:sz w:val="22"/>
                      <w:szCs w:val="22"/>
                    </w:rPr>
                    <w:t>15 etatów KSC w skali 12 m-cy (rok 10 - 2033)</w:t>
                  </w:r>
                </w:p>
              </w:tc>
            </w:tr>
            <w:tr w:rsidR="007532AB" w:rsidRPr="00E11130" w14:paraId="4202AC36" w14:textId="77777777" w:rsidTr="00E11130">
              <w:trPr>
                <w:trHeight w:val="96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41C4D9B" w14:textId="1925CE39"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Dane w zakresie wynagrodzeń do OSR - na podstawie Rb-70 IV kwartał 2022</w:t>
                  </w:r>
                </w:p>
              </w:tc>
              <w:tc>
                <w:tcPr>
                  <w:tcW w:w="851" w:type="dxa"/>
                  <w:tcBorders>
                    <w:top w:val="nil"/>
                    <w:left w:val="nil"/>
                    <w:bottom w:val="single" w:sz="4" w:space="0" w:color="auto"/>
                    <w:right w:val="single" w:sz="4" w:space="0" w:color="auto"/>
                  </w:tcBorders>
                  <w:shd w:val="clear" w:color="auto" w:fill="auto"/>
                  <w:vAlign w:val="center"/>
                  <w:hideMark/>
                </w:tcPr>
                <w:p w14:paraId="3CDA0282" w14:textId="6B6A4C3E"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Klasyf. budżet.</w:t>
                  </w:r>
                </w:p>
              </w:tc>
              <w:tc>
                <w:tcPr>
                  <w:tcW w:w="1134" w:type="dxa"/>
                  <w:tcBorders>
                    <w:top w:val="nil"/>
                    <w:left w:val="nil"/>
                    <w:bottom w:val="single" w:sz="4" w:space="0" w:color="auto"/>
                    <w:right w:val="single" w:sz="4" w:space="0" w:color="auto"/>
                  </w:tcBorders>
                  <w:shd w:val="clear" w:color="auto" w:fill="auto"/>
                  <w:vAlign w:val="center"/>
                  <w:hideMark/>
                </w:tcPr>
                <w:p w14:paraId="129F0ED8" w14:textId="3A36819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Zatrudnienie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w:t>
                  </w:r>
                </w:p>
              </w:tc>
              <w:tc>
                <w:tcPr>
                  <w:tcW w:w="1134" w:type="dxa"/>
                  <w:tcBorders>
                    <w:top w:val="nil"/>
                    <w:left w:val="nil"/>
                    <w:bottom w:val="single" w:sz="4" w:space="0" w:color="auto"/>
                    <w:right w:val="single" w:sz="4" w:space="0" w:color="auto"/>
                  </w:tcBorders>
                  <w:shd w:val="clear" w:color="auto" w:fill="auto"/>
                  <w:vAlign w:val="center"/>
                  <w:hideMark/>
                </w:tcPr>
                <w:p w14:paraId="7B09313B" w14:textId="1CC8B07A"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KSC wg Rb-70 IV kw.</w:t>
                  </w:r>
                  <w:r>
                    <w:rPr>
                      <w:rFonts w:eastAsia="Times New Roman" w:cs="Times New Roman"/>
                      <w:color w:val="000000"/>
                      <w:sz w:val="18"/>
                      <w:szCs w:val="18"/>
                    </w:rPr>
                    <w:t xml:space="preserve"> </w:t>
                  </w:r>
                  <w:r w:rsidRPr="00E11130">
                    <w:rPr>
                      <w:rFonts w:eastAsia="Times New Roman" w:cs="Times New Roman"/>
                      <w:color w:val="000000"/>
                      <w:sz w:val="18"/>
                      <w:szCs w:val="18"/>
                    </w:rPr>
                    <w:t>2022 (bez projektów UE)</w:t>
                  </w:r>
                </w:p>
              </w:tc>
              <w:tc>
                <w:tcPr>
                  <w:tcW w:w="850" w:type="dxa"/>
                  <w:tcBorders>
                    <w:top w:val="nil"/>
                    <w:left w:val="nil"/>
                    <w:bottom w:val="single" w:sz="4" w:space="0" w:color="auto"/>
                    <w:right w:val="single" w:sz="4" w:space="0" w:color="auto"/>
                  </w:tcBorders>
                  <w:shd w:val="clear" w:color="auto" w:fill="auto"/>
                  <w:vAlign w:val="center"/>
                  <w:hideMark/>
                </w:tcPr>
                <w:p w14:paraId="2AB2B08D"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Średnia na 1 etat</w:t>
                  </w:r>
                </w:p>
              </w:tc>
              <w:tc>
                <w:tcPr>
                  <w:tcW w:w="1843" w:type="dxa"/>
                  <w:tcBorders>
                    <w:top w:val="nil"/>
                    <w:left w:val="nil"/>
                    <w:bottom w:val="single" w:sz="4" w:space="0" w:color="auto"/>
                    <w:right w:val="single" w:sz="4" w:space="0" w:color="auto"/>
                  </w:tcBorders>
                  <w:shd w:val="clear" w:color="000000" w:fill="B4C6E7"/>
                  <w:hideMark/>
                </w:tcPr>
                <w:p w14:paraId="242BDE7A" w14:textId="4607A06F"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Koszty dla 15 etatów KSC w skali 12 m-cy (z DWR</w:t>
                  </w:r>
                  <w:r>
                    <w:rPr>
                      <w:rFonts w:eastAsia="Times New Roman" w:cs="Times New Roman"/>
                      <w:b/>
                      <w:bCs/>
                      <w:color w:val="000000"/>
                      <w:sz w:val="18"/>
                      <w:szCs w:val="18"/>
                    </w:rPr>
                    <w:t xml:space="preserve"> dla 14 etatów</w:t>
                  </w:r>
                  <w:r w:rsidRPr="00E11130">
                    <w:rPr>
                      <w:rFonts w:eastAsia="Times New Roman" w:cs="Times New Roman"/>
                      <w:b/>
                      <w:bCs/>
                      <w:color w:val="000000"/>
                      <w:sz w:val="18"/>
                      <w:szCs w:val="18"/>
                    </w:rPr>
                    <w:t>)</w:t>
                  </w:r>
                </w:p>
              </w:tc>
            </w:tr>
            <w:tr w:rsidR="007532AB" w:rsidRPr="00E11130" w14:paraId="7CCBE2DB"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7B956ECD"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2EC8B0D9"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43550C4"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etatach</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C686A8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 tys. zł</w:t>
                  </w:r>
                </w:p>
              </w:tc>
            </w:tr>
            <w:tr w:rsidR="007532AB" w:rsidRPr="00E11130" w14:paraId="20C53F09"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4CAEAB7" w14:textId="793B84A9"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wynagrodzenia osobowe KSC wg Rb-70 IV kw.2022</w:t>
                  </w:r>
                </w:p>
              </w:tc>
              <w:tc>
                <w:tcPr>
                  <w:tcW w:w="851" w:type="dxa"/>
                  <w:tcBorders>
                    <w:top w:val="nil"/>
                    <w:left w:val="nil"/>
                    <w:bottom w:val="single" w:sz="4" w:space="0" w:color="auto"/>
                    <w:right w:val="single" w:sz="4" w:space="0" w:color="auto"/>
                  </w:tcBorders>
                  <w:shd w:val="clear" w:color="auto" w:fill="auto"/>
                  <w:vAlign w:val="center"/>
                  <w:hideMark/>
                </w:tcPr>
                <w:p w14:paraId="679B2B65"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4020</w:t>
                  </w:r>
                </w:p>
              </w:tc>
              <w:tc>
                <w:tcPr>
                  <w:tcW w:w="1134" w:type="dxa"/>
                  <w:tcBorders>
                    <w:top w:val="nil"/>
                    <w:left w:val="nil"/>
                    <w:bottom w:val="single" w:sz="4" w:space="0" w:color="auto"/>
                    <w:right w:val="single" w:sz="4" w:space="0" w:color="auto"/>
                  </w:tcBorders>
                  <w:shd w:val="clear" w:color="auto" w:fill="auto"/>
                  <w:noWrap/>
                  <w:vAlign w:val="center"/>
                  <w:hideMark/>
                </w:tcPr>
                <w:p w14:paraId="46DCB561" w14:textId="7B5D5096"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1C273577" w14:textId="45E97AC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37712</w:t>
                  </w:r>
                </w:p>
              </w:tc>
              <w:tc>
                <w:tcPr>
                  <w:tcW w:w="850" w:type="dxa"/>
                  <w:tcBorders>
                    <w:top w:val="nil"/>
                    <w:left w:val="nil"/>
                    <w:bottom w:val="single" w:sz="4" w:space="0" w:color="auto"/>
                    <w:right w:val="single" w:sz="4" w:space="0" w:color="auto"/>
                  </w:tcBorders>
                  <w:shd w:val="clear" w:color="auto" w:fill="auto"/>
                  <w:noWrap/>
                  <w:vAlign w:val="center"/>
                  <w:hideMark/>
                </w:tcPr>
                <w:p w14:paraId="273AC6F0" w14:textId="29193BD4"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9</w:t>
                  </w:r>
                </w:p>
              </w:tc>
              <w:tc>
                <w:tcPr>
                  <w:tcW w:w="1843" w:type="dxa"/>
                  <w:tcBorders>
                    <w:top w:val="nil"/>
                    <w:left w:val="nil"/>
                    <w:bottom w:val="single" w:sz="4" w:space="0" w:color="auto"/>
                    <w:right w:val="single" w:sz="4" w:space="0" w:color="auto"/>
                  </w:tcBorders>
                  <w:shd w:val="clear" w:color="auto" w:fill="auto"/>
                  <w:noWrap/>
                  <w:vAlign w:val="center"/>
                  <w:hideMark/>
                </w:tcPr>
                <w:p w14:paraId="14EE9B37" w14:textId="03E1FFFC"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1 620</w:t>
                  </w:r>
                </w:p>
              </w:tc>
            </w:tr>
            <w:tr w:rsidR="007532AB" w:rsidRPr="00E11130" w14:paraId="4E58C7F7"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4A0FFCA2"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dodatkowe wynagrodzenie roczne (8,5% od § 4020)</w:t>
                  </w:r>
                </w:p>
              </w:tc>
              <w:tc>
                <w:tcPr>
                  <w:tcW w:w="851" w:type="dxa"/>
                  <w:tcBorders>
                    <w:top w:val="nil"/>
                    <w:left w:val="nil"/>
                    <w:bottom w:val="single" w:sz="4" w:space="0" w:color="auto"/>
                    <w:right w:val="single" w:sz="4" w:space="0" w:color="auto"/>
                  </w:tcBorders>
                  <w:shd w:val="clear" w:color="auto" w:fill="auto"/>
                  <w:vAlign w:val="center"/>
                  <w:hideMark/>
                </w:tcPr>
                <w:p w14:paraId="625BADD0"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4040</w:t>
                  </w:r>
                </w:p>
              </w:tc>
              <w:tc>
                <w:tcPr>
                  <w:tcW w:w="1134" w:type="dxa"/>
                  <w:tcBorders>
                    <w:top w:val="nil"/>
                    <w:left w:val="nil"/>
                    <w:bottom w:val="single" w:sz="4" w:space="0" w:color="auto"/>
                    <w:right w:val="single" w:sz="4" w:space="0" w:color="auto"/>
                  </w:tcBorders>
                  <w:shd w:val="clear" w:color="auto" w:fill="auto"/>
                  <w:noWrap/>
                  <w:vAlign w:val="center"/>
                  <w:hideMark/>
                </w:tcPr>
                <w:p w14:paraId="7227F20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017D0536"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343D961A"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39B420BD" w14:textId="10261DFF"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129</w:t>
                  </w:r>
                </w:p>
              </w:tc>
            </w:tr>
            <w:tr w:rsidR="007532AB" w:rsidRPr="00E11130" w14:paraId="23898070"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3EFC3409"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ubezpieczenie społeczne - pracodawca (17,19%)</w:t>
                  </w:r>
                </w:p>
              </w:tc>
              <w:tc>
                <w:tcPr>
                  <w:tcW w:w="851" w:type="dxa"/>
                  <w:tcBorders>
                    <w:top w:val="nil"/>
                    <w:left w:val="nil"/>
                    <w:bottom w:val="single" w:sz="4" w:space="0" w:color="auto"/>
                    <w:right w:val="single" w:sz="4" w:space="0" w:color="auto"/>
                  </w:tcBorders>
                  <w:shd w:val="clear" w:color="auto" w:fill="auto"/>
                  <w:vAlign w:val="center"/>
                  <w:hideMark/>
                </w:tcPr>
                <w:p w14:paraId="6C6506EC"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4110</w:t>
                  </w:r>
                </w:p>
              </w:tc>
              <w:tc>
                <w:tcPr>
                  <w:tcW w:w="1134" w:type="dxa"/>
                  <w:tcBorders>
                    <w:top w:val="nil"/>
                    <w:left w:val="nil"/>
                    <w:bottom w:val="single" w:sz="4" w:space="0" w:color="auto"/>
                    <w:right w:val="single" w:sz="4" w:space="0" w:color="auto"/>
                  </w:tcBorders>
                  <w:shd w:val="clear" w:color="auto" w:fill="auto"/>
                  <w:noWrap/>
                  <w:vAlign w:val="center"/>
                  <w:hideMark/>
                </w:tcPr>
                <w:p w14:paraId="7AC77AC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51BE05A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01EAA32B"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21826C82" w14:textId="21598300"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301</w:t>
                  </w:r>
                </w:p>
              </w:tc>
            </w:tr>
            <w:tr w:rsidR="007532AB" w:rsidRPr="00E11130" w14:paraId="090C5BE7" w14:textId="77777777" w:rsidTr="00E11130">
              <w:trPr>
                <w:trHeight w:val="300"/>
              </w:trPr>
              <w:tc>
                <w:tcPr>
                  <w:tcW w:w="1787" w:type="dxa"/>
                  <w:tcBorders>
                    <w:top w:val="nil"/>
                    <w:left w:val="single" w:sz="4" w:space="0" w:color="auto"/>
                    <w:bottom w:val="single" w:sz="4" w:space="0" w:color="auto"/>
                    <w:right w:val="single" w:sz="4" w:space="0" w:color="auto"/>
                  </w:tcBorders>
                  <w:shd w:val="clear" w:color="auto" w:fill="auto"/>
                  <w:vAlign w:val="center"/>
                  <w:hideMark/>
                </w:tcPr>
                <w:p w14:paraId="6D10FE8F" w14:textId="2EBAE141"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składki na Fundusz Pracy oraz Fundusz Solidarnościowy - pracodawca (2,45%)</w:t>
                  </w:r>
                </w:p>
              </w:tc>
              <w:tc>
                <w:tcPr>
                  <w:tcW w:w="851" w:type="dxa"/>
                  <w:tcBorders>
                    <w:top w:val="nil"/>
                    <w:left w:val="nil"/>
                    <w:bottom w:val="single" w:sz="4" w:space="0" w:color="auto"/>
                    <w:right w:val="single" w:sz="4" w:space="0" w:color="auto"/>
                  </w:tcBorders>
                  <w:shd w:val="clear" w:color="auto" w:fill="auto"/>
                  <w:vAlign w:val="center"/>
                  <w:hideMark/>
                </w:tcPr>
                <w:p w14:paraId="4002A4CB"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 4120</w:t>
                  </w:r>
                </w:p>
              </w:tc>
              <w:tc>
                <w:tcPr>
                  <w:tcW w:w="1134" w:type="dxa"/>
                  <w:tcBorders>
                    <w:top w:val="nil"/>
                    <w:left w:val="nil"/>
                    <w:bottom w:val="single" w:sz="4" w:space="0" w:color="auto"/>
                    <w:right w:val="single" w:sz="4" w:space="0" w:color="auto"/>
                  </w:tcBorders>
                  <w:shd w:val="clear" w:color="auto" w:fill="auto"/>
                  <w:noWrap/>
                  <w:vAlign w:val="center"/>
                  <w:hideMark/>
                </w:tcPr>
                <w:p w14:paraId="4078C880"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74B0BEA6"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center"/>
                  <w:hideMark/>
                </w:tcPr>
                <w:p w14:paraId="3B8ED294" w14:textId="77777777" w:rsidR="007532AB" w:rsidRPr="00E11130" w:rsidRDefault="007532AB" w:rsidP="007532AB">
                  <w:pPr>
                    <w:widowControl/>
                    <w:autoSpaceDE/>
                    <w:autoSpaceDN/>
                    <w:adjustRightInd/>
                    <w:spacing w:line="240" w:lineRule="auto"/>
                    <w:rPr>
                      <w:rFonts w:eastAsia="Times New Roman" w:cs="Times New Roman"/>
                      <w:color w:val="000000"/>
                      <w:sz w:val="18"/>
                      <w:szCs w:val="18"/>
                    </w:rPr>
                  </w:pPr>
                  <w:r w:rsidRPr="00E11130">
                    <w:rPr>
                      <w:rFonts w:eastAsia="Times New Roman" w:cs="Times New Roman"/>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center"/>
                  <w:hideMark/>
                </w:tcPr>
                <w:p w14:paraId="71313D5F" w14:textId="020355CB"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r w:rsidRPr="00E11130">
                    <w:rPr>
                      <w:rFonts w:eastAsia="Times New Roman" w:cs="Times New Roman"/>
                      <w:color w:val="000000"/>
                      <w:sz w:val="18"/>
                      <w:szCs w:val="18"/>
                    </w:rPr>
                    <w:t>43</w:t>
                  </w:r>
                </w:p>
              </w:tc>
            </w:tr>
            <w:tr w:rsidR="007532AB" w:rsidRPr="00E11130" w14:paraId="2CD2817E" w14:textId="77777777" w:rsidTr="00E11130">
              <w:trPr>
                <w:trHeight w:val="300"/>
              </w:trPr>
              <w:tc>
                <w:tcPr>
                  <w:tcW w:w="1787" w:type="dxa"/>
                  <w:tcBorders>
                    <w:top w:val="nil"/>
                    <w:left w:val="nil"/>
                    <w:bottom w:val="nil"/>
                    <w:right w:val="nil"/>
                  </w:tcBorders>
                  <w:shd w:val="clear" w:color="auto" w:fill="auto"/>
                  <w:noWrap/>
                  <w:vAlign w:val="bottom"/>
                  <w:hideMark/>
                </w:tcPr>
                <w:p w14:paraId="3A2E6018" w14:textId="77777777" w:rsidR="007532AB" w:rsidRPr="00E11130" w:rsidRDefault="007532AB" w:rsidP="007532AB">
                  <w:pPr>
                    <w:widowControl/>
                    <w:autoSpaceDE/>
                    <w:autoSpaceDN/>
                    <w:adjustRightInd/>
                    <w:spacing w:line="240" w:lineRule="auto"/>
                    <w:jc w:val="center"/>
                    <w:rPr>
                      <w:rFonts w:eastAsia="Times New Roman" w:cs="Times New Roman"/>
                      <w:color w:val="000000"/>
                      <w:sz w:val="18"/>
                      <w:szCs w:val="18"/>
                    </w:rPr>
                  </w:pPr>
                </w:p>
              </w:tc>
              <w:tc>
                <w:tcPr>
                  <w:tcW w:w="851" w:type="dxa"/>
                  <w:tcBorders>
                    <w:top w:val="nil"/>
                    <w:left w:val="nil"/>
                    <w:bottom w:val="nil"/>
                    <w:right w:val="nil"/>
                  </w:tcBorders>
                  <w:shd w:val="clear" w:color="auto" w:fill="auto"/>
                  <w:noWrap/>
                  <w:vAlign w:val="bottom"/>
                  <w:hideMark/>
                </w:tcPr>
                <w:p w14:paraId="202954E2"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6CAA259C"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134" w:type="dxa"/>
                  <w:tcBorders>
                    <w:top w:val="nil"/>
                    <w:left w:val="nil"/>
                    <w:bottom w:val="nil"/>
                    <w:right w:val="nil"/>
                  </w:tcBorders>
                  <w:shd w:val="clear" w:color="auto" w:fill="auto"/>
                  <w:noWrap/>
                  <w:vAlign w:val="bottom"/>
                  <w:hideMark/>
                </w:tcPr>
                <w:p w14:paraId="5671C4C3"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850" w:type="dxa"/>
                  <w:tcBorders>
                    <w:top w:val="nil"/>
                    <w:left w:val="nil"/>
                    <w:bottom w:val="nil"/>
                    <w:right w:val="nil"/>
                  </w:tcBorders>
                  <w:shd w:val="clear" w:color="auto" w:fill="auto"/>
                  <w:noWrap/>
                  <w:vAlign w:val="bottom"/>
                  <w:hideMark/>
                </w:tcPr>
                <w:p w14:paraId="659646AD" w14:textId="77777777" w:rsidR="007532AB" w:rsidRPr="00E11130" w:rsidRDefault="007532AB" w:rsidP="007532AB">
                  <w:pPr>
                    <w:widowControl/>
                    <w:autoSpaceDE/>
                    <w:autoSpaceDN/>
                    <w:adjustRightInd/>
                    <w:spacing w:line="240" w:lineRule="auto"/>
                    <w:rPr>
                      <w:rFonts w:eastAsia="Times New Roman" w:cs="Times New Roman"/>
                      <w:sz w:val="20"/>
                    </w:rPr>
                  </w:pPr>
                </w:p>
              </w:tc>
              <w:tc>
                <w:tcPr>
                  <w:tcW w:w="1843" w:type="dxa"/>
                  <w:tcBorders>
                    <w:top w:val="nil"/>
                    <w:left w:val="single" w:sz="4" w:space="0" w:color="auto"/>
                    <w:bottom w:val="single" w:sz="4" w:space="0" w:color="auto"/>
                    <w:right w:val="single" w:sz="4" w:space="0" w:color="auto"/>
                  </w:tcBorders>
                  <w:shd w:val="clear" w:color="000000" w:fill="BDD7EE"/>
                  <w:noWrap/>
                  <w:vAlign w:val="center"/>
                  <w:hideMark/>
                </w:tcPr>
                <w:p w14:paraId="512252E2" w14:textId="54FF0877" w:rsidR="007532AB" w:rsidRPr="00E11130" w:rsidRDefault="007532AB" w:rsidP="007532AB">
                  <w:pPr>
                    <w:widowControl/>
                    <w:autoSpaceDE/>
                    <w:autoSpaceDN/>
                    <w:adjustRightInd/>
                    <w:spacing w:line="240" w:lineRule="auto"/>
                    <w:jc w:val="center"/>
                    <w:rPr>
                      <w:rFonts w:eastAsia="Times New Roman" w:cs="Times New Roman"/>
                      <w:b/>
                      <w:bCs/>
                      <w:color w:val="000000"/>
                      <w:sz w:val="18"/>
                      <w:szCs w:val="18"/>
                    </w:rPr>
                  </w:pPr>
                  <w:r w:rsidRPr="00E11130">
                    <w:rPr>
                      <w:rFonts w:eastAsia="Times New Roman" w:cs="Times New Roman"/>
                      <w:b/>
                      <w:bCs/>
                      <w:color w:val="000000"/>
                      <w:sz w:val="18"/>
                      <w:szCs w:val="18"/>
                    </w:rPr>
                    <w:t>2093</w:t>
                  </w:r>
                </w:p>
              </w:tc>
            </w:tr>
          </w:tbl>
          <w:p w14:paraId="22BE8D00" w14:textId="77777777" w:rsidR="007532AB" w:rsidRPr="00E11130" w:rsidRDefault="007532AB" w:rsidP="007532AB">
            <w:pPr>
              <w:widowControl/>
              <w:autoSpaceDE/>
              <w:autoSpaceDN/>
              <w:adjustRightInd/>
              <w:spacing w:after="160" w:line="259" w:lineRule="auto"/>
              <w:rPr>
                <w:rFonts w:eastAsia="Calibri" w:cs="Times New Roman"/>
                <w:sz w:val="22"/>
                <w:szCs w:val="22"/>
                <w:lang w:eastAsia="en-US"/>
              </w:rPr>
            </w:pPr>
          </w:p>
          <w:p w14:paraId="19A79A85" w14:textId="189378B1" w:rsidR="007532AB" w:rsidRDefault="007532AB" w:rsidP="007532AB">
            <w:pPr>
              <w:widowControl/>
              <w:autoSpaceDE/>
              <w:autoSpaceDN/>
              <w:adjustRightInd/>
              <w:spacing w:after="120" w:line="240" w:lineRule="auto"/>
              <w:jc w:val="both"/>
              <w:rPr>
                <w:rFonts w:eastAsia="Calibri" w:cs="Times New Roman"/>
                <w:bCs/>
                <w:sz w:val="22"/>
                <w:szCs w:val="22"/>
                <w:lang w:eastAsia="en-US"/>
              </w:rPr>
            </w:pPr>
            <w:r>
              <w:rPr>
                <w:rFonts w:eastAsia="Calibri" w:cs="Times New Roman"/>
                <w:bCs/>
                <w:sz w:val="22"/>
                <w:szCs w:val="22"/>
                <w:lang w:eastAsia="en-US"/>
              </w:rPr>
              <w:t>Wydatki ULC związane z wyposażeniem miejsc pracy dla nowych pracowników ULC i zapewnieniem dla nich materiałów biurowych</w:t>
            </w:r>
            <w:r w:rsidRPr="002474C3">
              <w:rPr>
                <w:rFonts w:eastAsia="Calibri" w:cs="Times New Roman"/>
                <w:bCs/>
                <w:sz w:val="22"/>
                <w:szCs w:val="22"/>
                <w:lang w:eastAsia="en-US"/>
              </w:rPr>
              <w:t xml:space="preserve"> zostaną sfinansowane w ramach limitu wydatków określonego w ustawach budżetowych na kolejne lata, we właściwej części budżetowej, bez konieczności pozyskania dodatkowych środków na ten cel</w:t>
            </w:r>
            <w:r>
              <w:rPr>
                <w:rFonts w:eastAsia="Calibri" w:cs="Times New Roman"/>
                <w:bCs/>
                <w:sz w:val="22"/>
                <w:szCs w:val="22"/>
                <w:lang w:eastAsia="en-US"/>
              </w:rPr>
              <w:t>.</w:t>
            </w:r>
          </w:p>
          <w:p w14:paraId="6BB9BF94" w14:textId="7AF88430" w:rsidR="007532AB" w:rsidRDefault="007532AB" w:rsidP="007532AB">
            <w:pPr>
              <w:widowControl/>
              <w:autoSpaceDE/>
              <w:autoSpaceDN/>
              <w:adjustRightInd/>
              <w:spacing w:after="120" w:line="240" w:lineRule="auto"/>
              <w:jc w:val="both"/>
              <w:rPr>
                <w:rFonts w:eastAsia="Calibri" w:cs="Times New Roman"/>
                <w:bCs/>
                <w:sz w:val="22"/>
                <w:szCs w:val="22"/>
                <w:lang w:eastAsia="en-US"/>
              </w:rPr>
            </w:pPr>
            <w:r w:rsidRPr="00C47FEB">
              <w:rPr>
                <w:rFonts w:eastAsia="Calibri" w:cs="Times New Roman"/>
                <w:bCs/>
                <w:sz w:val="22"/>
                <w:szCs w:val="22"/>
                <w:lang w:eastAsia="en-US"/>
              </w:rPr>
              <w:t xml:space="preserve">Analiza pracochłonności nowych zadań wskazuje, że ich realizacja będzie wymagała zatrudnienia w Urzędzie Lotnictwa Cywilnego </w:t>
            </w:r>
            <w:r>
              <w:rPr>
                <w:rFonts w:eastAsia="Calibri" w:cs="Times New Roman"/>
                <w:bCs/>
                <w:sz w:val="22"/>
                <w:szCs w:val="22"/>
                <w:lang w:eastAsia="en-US"/>
              </w:rPr>
              <w:t>w pierwszych latach działania nowych przepisów siedmiu</w:t>
            </w:r>
            <w:r w:rsidRPr="00C47FEB">
              <w:rPr>
                <w:rFonts w:eastAsia="Calibri" w:cs="Times New Roman"/>
                <w:bCs/>
                <w:sz w:val="22"/>
                <w:szCs w:val="22"/>
                <w:lang w:eastAsia="en-US"/>
              </w:rPr>
              <w:t xml:space="preserve"> pracowników</w:t>
            </w:r>
            <w:r>
              <w:rPr>
                <w:rFonts w:eastAsia="Calibri" w:cs="Times New Roman"/>
                <w:bCs/>
                <w:sz w:val="22"/>
                <w:szCs w:val="22"/>
                <w:lang w:eastAsia="en-US"/>
              </w:rPr>
              <w:t>, a następnie co dwa lata po dwóch pracowników aż do  osiągnięcia zwiększenia zatrudnienia o piętnastu pracowników (zgodnie z powyższą kalkulacją)</w:t>
            </w:r>
            <w:r w:rsidRPr="00C47FEB">
              <w:rPr>
                <w:rFonts w:eastAsia="Calibri" w:cs="Times New Roman"/>
                <w:bCs/>
                <w:sz w:val="22"/>
                <w:szCs w:val="22"/>
                <w:lang w:eastAsia="en-US"/>
              </w:rPr>
              <w:t>, co wiąże się z koniecznością zwiększenia części 39 budżetu państwa, której dysponentem jest minister właściwy do spraw transportu, w celu zwiększenia budżetu Urzędu Lotnictwa Cywilnego.</w:t>
            </w:r>
            <w:r>
              <w:rPr>
                <w:rFonts w:eastAsia="Calibri" w:cs="Times New Roman"/>
                <w:bCs/>
                <w:sz w:val="22"/>
                <w:szCs w:val="22"/>
                <w:lang w:eastAsia="en-US"/>
              </w:rPr>
              <w:t xml:space="preserve"> Mając jednak na uwadze uwzględnienie uwagi Ministerstwa Finansów dot. liczby etatów dla ULC w związku z  nowymi zadaniami wykonywanymi przez Prezesa ULC zweryfikowano liczbę nowych etatów dla ULC zmniejszając ich liczbę z 7 do 5 w pierwszym półroczu obowiązywania ustawy i dodając w każdym kolejnym roku po jednym etacie aż do 15 etatów w ciągu 10 lat obowiązywania ustawy.  </w:t>
            </w:r>
          </w:p>
          <w:p w14:paraId="63CC0EB9" w14:textId="77777777" w:rsidR="007532AB" w:rsidRPr="00807F0C" w:rsidRDefault="007532AB" w:rsidP="007532AB">
            <w:pPr>
              <w:widowControl/>
              <w:autoSpaceDE/>
              <w:autoSpaceDN/>
              <w:adjustRightInd/>
              <w:spacing w:after="120" w:line="240" w:lineRule="auto"/>
              <w:jc w:val="both"/>
              <w:rPr>
                <w:rFonts w:eastAsia="Calibri" w:cs="Times New Roman"/>
                <w:spacing w:val="-2"/>
                <w:sz w:val="22"/>
                <w:szCs w:val="22"/>
              </w:rPr>
            </w:pPr>
            <w:r w:rsidRPr="00807F0C">
              <w:rPr>
                <w:rFonts w:eastAsia="Calibri" w:cs="Times New Roman"/>
                <w:spacing w:val="-2"/>
                <w:sz w:val="22"/>
                <w:szCs w:val="22"/>
              </w:rPr>
              <w:t>Analiza pracochłonności w zakresie nowych zadań Prezesa ULC</w:t>
            </w:r>
          </w:p>
          <w:tbl>
            <w:tblPr>
              <w:tblW w:w="8880" w:type="dxa"/>
              <w:tblLayout w:type="fixed"/>
              <w:tblCellMar>
                <w:left w:w="70" w:type="dxa"/>
                <w:right w:w="70" w:type="dxa"/>
              </w:tblCellMar>
              <w:tblLook w:val="04A0" w:firstRow="1" w:lastRow="0" w:firstColumn="1" w:lastColumn="0" w:noHBand="0" w:noVBand="1"/>
            </w:tblPr>
            <w:tblGrid>
              <w:gridCol w:w="935"/>
              <w:gridCol w:w="2701"/>
              <w:gridCol w:w="935"/>
              <w:gridCol w:w="539"/>
              <w:gridCol w:w="279"/>
              <w:gridCol w:w="539"/>
              <w:gridCol w:w="259"/>
              <w:gridCol w:w="539"/>
              <w:gridCol w:w="317"/>
              <w:gridCol w:w="539"/>
              <w:gridCol w:w="1298"/>
            </w:tblGrid>
            <w:tr w:rsidR="007532AB" w:rsidRPr="00807F0C" w14:paraId="5DC8D6E9" w14:textId="77777777" w:rsidTr="007B7A36">
              <w:trPr>
                <w:trHeight w:val="264"/>
              </w:trPr>
              <w:tc>
                <w:tcPr>
                  <w:tcW w:w="935" w:type="dxa"/>
                  <w:tcBorders>
                    <w:top w:val="nil"/>
                    <w:left w:val="nil"/>
                    <w:bottom w:val="nil"/>
                    <w:right w:val="nil"/>
                  </w:tcBorders>
                  <w:shd w:val="clear" w:color="auto" w:fill="auto"/>
                  <w:hideMark/>
                </w:tcPr>
                <w:p w14:paraId="265DB0D7"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7355F594" w14:textId="77777777" w:rsidR="007532AB" w:rsidRPr="00807F0C" w:rsidRDefault="007532AB" w:rsidP="007532AB">
                  <w:pPr>
                    <w:widowControl/>
                    <w:autoSpaceDE/>
                    <w:autoSpaceDN/>
                    <w:adjustRightInd/>
                    <w:spacing w:line="240" w:lineRule="auto"/>
                    <w:rPr>
                      <w:rFonts w:eastAsia="Times New Roman" w:cs="Times New Roman"/>
                      <w:b/>
                      <w:bCs/>
                      <w:i/>
                      <w:iCs/>
                      <w:sz w:val="20"/>
                      <w:u w:val="single"/>
                    </w:rPr>
                  </w:pPr>
                  <w:r w:rsidRPr="00807F0C">
                    <w:rPr>
                      <w:rFonts w:eastAsia="Times New Roman" w:cs="Times New Roman"/>
                      <w:b/>
                      <w:bCs/>
                      <w:i/>
                      <w:iCs/>
                      <w:sz w:val="20"/>
                      <w:u w:val="single"/>
                    </w:rPr>
                    <w:t>Założenia</w:t>
                  </w:r>
                </w:p>
              </w:tc>
              <w:tc>
                <w:tcPr>
                  <w:tcW w:w="539" w:type="dxa"/>
                  <w:tcBorders>
                    <w:top w:val="nil"/>
                    <w:left w:val="nil"/>
                    <w:bottom w:val="nil"/>
                    <w:right w:val="nil"/>
                  </w:tcBorders>
                  <w:shd w:val="clear" w:color="auto" w:fill="auto"/>
                  <w:hideMark/>
                </w:tcPr>
                <w:p w14:paraId="43BB27ED" w14:textId="77777777" w:rsidR="007532AB" w:rsidRPr="00807F0C" w:rsidRDefault="007532AB" w:rsidP="007532AB">
                  <w:pPr>
                    <w:widowControl/>
                    <w:autoSpaceDE/>
                    <w:autoSpaceDN/>
                    <w:adjustRightInd/>
                    <w:spacing w:line="240" w:lineRule="auto"/>
                    <w:rPr>
                      <w:rFonts w:eastAsia="Times New Roman" w:cs="Times New Roman"/>
                      <w:b/>
                      <w:bCs/>
                      <w:i/>
                      <w:iCs/>
                      <w:sz w:val="20"/>
                      <w:u w:val="single"/>
                    </w:rPr>
                  </w:pPr>
                </w:p>
              </w:tc>
              <w:tc>
                <w:tcPr>
                  <w:tcW w:w="818" w:type="dxa"/>
                  <w:gridSpan w:val="2"/>
                  <w:tcBorders>
                    <w:top w:val="nil"/>
                    <w:left w:val="nil"/>
                    <w:bottom w:val="nil"/>
                    <w:right w:val="nil"/>
                  </w:tcBorders>
                  <w:shd w:val="clear" w:color="auto" w:fill="auto"/>
                  <w:hideMark/>
                </w:tcPr>
                <w:p w14:paraId="7DF77DFE"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798" w:type="dxa"/>
                  <w:gridSpan w:val="2"/>
                  <w:tcBorders>
                    <w:top w:val="nil"/>
                    <w:left w:val="nil"/>
                    <w:bottom w:val="nil"/>
                    <w:right w:val="nil"/>
                  </w:tcBorders>
                  <w:shd w:val="clear" w:color="auto" w:fill="auto"/>
                  <w:hideMark/>
                </w:tcPr>
                <w:p w14:paraId="1AA983BE"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856" w:type="dxa"/>
                  <w:gridSpan w:val="2"/>
                  <w:tcBorders>
                    <w:top w:val="nil"/>
                    <w:left w:val="nil"/>
                    <w:bottom w:val="nil"/>
                    <w:right w:val="nil"/>
                  </w:tcBorders>
                  <w:shd w:val="clear" w:color="auto" w:fill="auto"/>
                  <w:hideMark/>
                </w:tcPr>
                <w:p w14:paraId="742FDD46"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6B48AAAE"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807F0C" w14:paraId="286292C8" w14:textId="77777777" w:rsidTr="007B7A36">
              <w:trPr>
                <w:trHeight w:val="264"/>
              </w:trPr>
              <w:tc>
                <w:tcPr>
                  <w:tcW w:w="935" w:type="dxa"/>
                  <w:tcBorders>
                    <w:top w:val="nil"/>
                    <w:left w:val="nil"/>
                    <w:bottom w:val="nil"/>
                    <w:right w:val="nil"/>
                  </w:tcBorders>
                  <w:shd w:val="clear" w:color="auto" w:fill="auto"/>
                  <w:hideMark/>
                </w:tcPr>
                <w:p w14:paraId="7CE992AA"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27AC84C9" w14:textId="46112C19" w:rsidR="007532AB" w:rsidRPr="00807F0C" w:rsidRDefault="007532AB" w:rsidP="007532AB">
                  <w:pPr>
                    <w:widowControl/>
                    <w:autoSpaceDE/>
                    <w:autoSpaceDN/>
                    <w:adjustRightInd/>
                    <w:spacing w:line="240" w:lineRule="auto"/>
                    <w:rPr>
                      <w:rFonts w:eastAsia="Times New Roman" w:cs="Times New Roman"/>
                      <w:i/>
                      <w:iCs/>
                      <w:sz w:val="20"/>
                    </w:rPr>
                  </w:pPr>
                  <w:r>
                    <w:rPr>
                      <w:rFonts w:eastAsia="Times New Roman" w:cs="Times New Roman"/>
                      <w:i/>
                      <w:iCs/>
                      <w:sz w:val="20"/>
                    </w:rPr>
                    <w:t>Liczba</w:t>
                  </w:r>
                  <w:r w:rsidRPr="00807F0C">
                    <w:rPr>
                      <w:rFonts w:eastAsia="Times New Roman" w:cs="Times New Roman"/>
                      <w:i/>
                      <w:iCs/>
                      <w:sz w:val="20"/>
                    </w:rPr>
                    <w:t xml:space="preserve"> dni roboczych w roku</w:t>
                  </w:r>
                </w:p>
              </w:tc>
              <w:tc>
                <w:tcPr>
                  <w:tcW w:w="539" w:type="dxa"/>
                  <w:tcBorders>
                    <w:top w:val="nil"/>
                    <w:left w:val="nil"/>
                    <w:bottom w:val="nil"/>
                    <w:right w:val="nil"/>
                  </w:tcBorders>
                  <w:shd w:val="clear" w:color="auto" w:fill="auto"/>
                  <w:hideMark/>
                </w:tcPr>
                <w:p w14:paraId="206EE4C5" w14:textId="77777777" w:rsidR="007532AB" w:rsidRPr="00807F0C" w:rsidRDefault="007532AB" w:rsidP="007532AB">
                  <w:pPr>
                    <w:widowControl/>
                    <w:autoSpaceDE/>
                    <w:autoSpaceDN/>
                    <w:adjustRightInd/>
                    <w:spacing w:line="240" w:lineRule="auto"/>
                    <w:rPr>
                      <w:rFonts w:eastAsia="Times New Roman" w:cs="Times New Roman"/>
                      <w:i/>
                      <w:iCs/>
                      <w:sz w:val="20"/>
                    </w:rPr>
                  </w:pPr>
                </w:p>
              </w:tc>
              <w:tc>
                <w:tcPr>
                  <w:tcW w:w="818" w:type="dxa"/>
                  <w:gridSpan w:val="2"/>
                  <w:tcBorders>
                    <w:top w:val="nil"/>
                    <w:left w:val="nil"/>
                    <w:bottom w:val="nil"/>
                    <w:right w:val="nil"/>
                  </w:tcBorders>
                  <w:shd w:val="clear" w:color="auto" w:fill="auto"/>
                  <w:hideMark/>
                </w:tcPr>
                <w:p w14:paraId="594B138F"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r w:rsidRPr="00807F0C">
                    <w:rPr>
                      <w:rFonts w:eastAsia="Times New Roman" w:cs="Times New Roman"/>
                      <w:b/>
                      <w:bCs/>
                      <w:i/>
                      <w:iCs/>
                      <w:sz w:val="20"/>
                    </w:rPr>
                    <w:t>252</w:t>
                  </w:r>
                </w:p>
              </w:tc>
              <w:tc>
                <w:tcPr>
                  <w:tcW w:w="798" w:type="dxa"/>
                  <w:gridSpan w:val="2"/>
                  <w:tcBorders>
                    <w:top w:val="nil"/>
                    <w:left w:val="nil"/>
                    <w:bottom w:val="nil"/>
                    <w:right w:val="nil"/>
                  </w:tcBorders>
                  <w:shd w:val="clear" w:color="auto" w:fill="auto"/>
                  <w:hideMark/>
                </w:tcPr>
                <w:p w14:paraId="303A456B"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p>
              </w:tc>
              <w:tc>
                <w:tcPr>
                  <w:tcW w:w="856" w:type="dxa"/>
                  <w:gridSpan w:val="2"/>
                  <w:tcBorders>
                    <w:top w:val="nil"/>
                    <w:left w:val="nil"/>
                    <w:bottom w:val="nil"/>
                    <w:right w:val="nil"/>
                  </w:tcBorders>
                  <w:shd w:val="clear" w:color="auto" w:fill="auto"/>
                  <w:hideMark/>
                </w:tcPr>
                <w:p w14:paraId="4685E600"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19D55675"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807F0C" w14:paraId="3845625D" w14:textId="77777777" w:rsidTr="007B7A36">
              <w:trPr>
                <w:trHeight w:val="792"/>
              </w:trPr>
              <w:tc>
                <w:tcPr>
                  <w:tcW w:w="935" w:type="dxa"/>
                  <w:tcBorders>
                    <w:top w:val="nil"/>
                    <w:left w:val="nil"/>
                    <w:bottom w:val="nil"/>
                    <w:right w:val="nil"/>
                  </w:tcBorders>
                  <w:shd w:val="clear" w:color="auto" w:fill="auto"/>
                  <w:hideMark/>
                </w:tcPr>
                <w:p w14:paraId="68A5D90C"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3D848BC2" w14:textId="40CB9157" w:rsidR="007532AB" w:rsidRPr="00807F0C" w:rsidRDefault="007532AB" w:rsidP="007532AB">
                  <w:pPr>
                    <w:widowControl/>
                    <w:autoSpaceDE/>
                    <w:autoSpaceDN/>
                    <w:adjustRightInd/>
                    <w:spacing w:line="240" w:lineRule="auto"/>
                    <w:rPr>
                      <w:rFonts w:eastAsia="Times New Roman" w:cs="Times New Roman"/>
                      <w:i/>
                      <w:iCs/>
                      <w:sz w:val="20"/>
                    </w:rPr>
                  </w:pPr>
                  <w:r>
                    <w:rPr>
                      <w:rFonts w:eastAsia="Times New Roman" w:cs="Times New Roman"/>
                      <w:i/>
                      <w:iCs/>
                      <w:sz w:val="20"/>
                    </w:rPr>
                    <w:t>Liczba</w:t>
                  </w:r>
                  <w:r w:rsidRPr="00807F0C">
                    <w:rPr>
                      <w:rFonts w:eastAsia="Times New Roman" w:cs="Times New Roman"/>
                      <w:i/>
                      <w:iCs/>
                      <w:sz w:val="20"/>
                    </w:rPr>
                    <w:t xml:space="preserve"> godzin poświęcanych przez 1 pracownika swoim zadaniom w dniu roboczym</w:t>
                  </w:r>
                </w:p>
              </w:tc>
              <w:tc>
                <w:tcPr>
                  <w:tcW w:w="539" w:type="dxa"/>
                  <w:tcBorders>
                    <w:top w:val="nil"/>
                    <w:left w:val="nil"/>
                    <w:bottom w:val="nil"/>
                    <w:right w:val="nil"/>
                  </w:tcBorders>
                  <w:shd w:val="clear" w:color="auto" w:fill="auto"/>
                  <w:hideMark/>
                </w:tcPr>
                <w:p w14:paraId="20F2689F" w14:textId="77777777" w:rsidR="007532AB" w:rsidRPr="00807F0C" w:rsidRDefault="007532AB" w:rsidP="007532AB">
                  <w:pPr>
                    <w:widowControl/>
                    <w:autoSpaceDE/>
                    <w:autoSpaceDN/>
                    <w:adjustRightInd/>
                    <w:spacing w:line="240" w:lineRule="auto"/>
                    <w:rPr>
                      <w:rFonts w:eastAsia="Times New Roman" w:cs="Times New Roman"/>
                      <w:i/>
                      <w:iCs/>
                      <w:sz w:val="20"/>
                    </w:rPr>
                  </w:pPr>
                </w:p>
              </w:tc>
              <w:tc>
                <w:tcPr>
                  <w:tcW w:w="818" w:type="dxa"/>
                  <w:gridSpan w:val="2"/>
                  <w:tcBorders>
                    <w:top w:val="nil"/>
                    <w:left w:val="nil"/>
                    <w:bottom w:val="nil"/>
                    <w:right w:val="nil"/>
                  </w:tcBorders>
                  <w:shd w:val="clear" w:color="auto" w:fill="auto"/>
                  <w:hideMark/>
                </w:tcPr>
                <w:p w14:paraId="0EA458C2"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r w:rsidRPr="00807F0C">
                    <w:rPr>
                      <w:rFonts w:eastAsia="Times New Roman" w:cs="Times New Roman"/>
                      <w:b/>
                      <w:bCs/>
                      <w:i/>
                      <w:iCs/>
                      <w:sz w:val="20"/>
                    </w:rPr>
                    <w:t>7</w:t>
                  </w:r>
                </w:p>
              </w:tc>
              <w:tc>
                <w:tcPr>
                  <w:tcW w:w="798" w:type="dxa"/>
                  <w:gridSpan w:val="2"/>
                  <w:tcBorders>
                    <w:top w:val="nil"/>
                    <w:left w:val="nil"/>
                    <w:bottom w:val="nil"/>
                    <w:right w:val="nil"/>
                  </w:tcBorders>
                  <w:shd w:val="clear" w:color="auto" w:fill="auto"/>
                  <w:hideMark/>
                </w:tcPr>
                <w:p w14:paraId="51EDB868"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p>
              </w:tc>
              <w:tc>
                <w:tcPr>
                  <w:tcW w:w="856" w:type="dxa"/>
                  <w:gridSpan w:val="2"/>
                  <w:tcBorders>
                    <w:top w:val="nil"/>
                    <w:left w:val="nil"/>
                    <w:bottom w:val="nil"/>
                    <w:right w:val="nil"/>
                  </w:tcBorders>
                  <w:shd w:val="clear" w:color="auto" w:fill="auto"/>
                  <w:hideMark/>
                </w:tcPr>
                <w:p w14:paraId="27C854E2"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4B6D398B"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807F0C" w14:paraId="1A4DF983" w14:textId="77777777" w:rsidTr="007B7A36">
              <w:trPr>
                <w:trHeight w:val="528"/>
              </w:trPr>
              <w:tc>
                <w:tcPr>
                  <w:tcW w:w="935" w:type="dxa"/>
                  <w:tcBorders>
                    <w:top w:val="nil"/>
                    <w:left w:val="nil"/>
                    <w:bottom w:val="nil"/>
                    <w:right w:val="nil"/>
                  </w:tcBorders>
                  <w:shd w:val="clear" w:color="auto" w:fill="auto"/>
                  <w:hideMark/>
                </w:tcPr>
                <w:p w14:paraId="58DB4D98"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703CA8D1" w14:textId="60936D5E" w:rsidR="007532AB" w:rsidRPr="00807F0C" w:rsidRDefault="007532AB" w:rsidP="007532AB">
                  <w:pPr>
                    <w:widowControl/>
                    <w:autoSpaceDE/>
                    <w:autoSpaceDN/>
                    <w:adjustRightInd/>
                    <w:spacing w:line="240" w:lineRule="auto"/>
                    <w:rPr>
                      <w:rFonts w:eastAsia="Times New Roman" w:cs="Times New Roman"/>
                      <w:i/>
                      <w:iCs/>
                      <w:sz w:val="20"/>
                    </w:rPr>
                  </w:pPr>
                  <w:r>
                    <w:rPr>
                      <w:rFonts w:eastAsia="Times New Roman" w:cs="Times New Roman"/>
                      <w:i/>
                      <w:iCs/>
                      <w:sz w:val="20"/>
                    </w:rPr>
                    <w:t>Liczba</w:t>
                  </w:r>
                  <w:r w:rsidRPr="00807F0C">
                    <w:rPr>
                      <w:rFonts w:eastAsia="Times New Roman" w:cs="Times New Roman"/>
                      <w:i/>
                      <w:iCs/>
                      <w:sz w:val="20"/>
                    </w:rPr>
                    <w:t xml:space="preserve"> dni urlopowych 1 pracownika w roku</w:t>
                  </w:r>
                </w:p>
              </w:tc>
              <w:tc>
                <w:tcPr>
                  <w:tcW w:w="539" w:type="dxa"/>
                  <w:tcBorders>
                    <w:top w:val="nil"/>
                    <w:left w:val="nil"/>
                    <w:bottom w:val="nil"/>
                    <w:right w:val="nil"/>
                  </w:tcBorders>
                  <w:shd w:val="clear" w:color="auto" w:fill="auto"/>
                  <w:hideMark/>
                </w:tcPr>
                <w:p w14:paraId="622549A4" w14:textId="77777777" w:rsidR="007532AB" w:rsidRPr="00807F0C" w:rsidRDefault="007532AB" w:rsidP="007532AB">
                  <w:pPr>
                    <w:widowControl/>
                    <w:autoSpaceDE/>
                    <w:autoSpaceDN/>
                    <w:adjustRightInd/>
                    <w:spacing w:line="240" w:lineRule="auto"/>
                    <w:rPr>
                      <w:rFonts w:eastAsia="Times New Roman" w:cs="Times New Roman"/>
                      <w:i/>
                      <w:iCs/>
                      <w:sz w:val="20"/>
                    </w:rPr>
                  </w:pPr>
                </w:p>
              </w:tc>
              <w:tc>
                <w:tcPr>
                  <w:tcW w:w="818" w:type="dxa"/>
                  <w:gridSpan w:val="2"/>
                  <w:tcBorders>
                    <w:top w:val="nil"/>
                    <w:left w:val="nil"/>
                    <w:bottom w:val="nil"/>
                    <w:right w:val="nil"/>
                  </w:tcBorders>
                  <w:shd w:val="clear" w:color="auto" w:fill="auto"/>
                  <w:hideMark/>
                </w:tcPr>
                <w:p w14:paraId="4B871230"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r w:rsidRPr="00807F0C">
                    <w:rPr>
                      <w:rFonts w:eastAsia="Times New Roman" w:cs="Times New Roman"/>
                      <w:b/>
                      <w:bCs/>
                      <w:i/>
                      <w:iCs/>
                      <w:sz w:val="20"/>
                    </w:rPr>
                    <w:t>26</w:t>
                  </w:r>
                </w:p>
              </w:tc>
              <w:tc>
                <w:tcPr>
                  <w:tcW w:w="798" w:type="dxa"/>
                  <w:gridSpan w:val="2"/>
                  <w:tcBorders>
                    <w:top w:val="nil"/>
                    <w:left w:val="nil"/>
                    <w:bottom w:val="nil"/>
                    <w:right w:val="nil"/>
                  </w:tcBorders>
                  <w:shd w:val="clear" w:color="auto" w:fill="auto"/>
                  <w:hideMark/>
                </w:tcPr>
                <w:p w14:paraId="17D18DB6"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p>
              </w:tc>
              <w:tc>
                <w:tcPr>
                  <w:tcW w:w="856" w:type="dxa"/>
                  <w:gridSpan w:val="2"/>
                  <w:tcBorders>
                    <w:top w:val="nil"/>
                    <w:left w:val="nil"/>
                    <w:bottom w:val="nil"/>
                    <w:right w:val="nil"/>
                  </w:tcBorders>
                  <w:shd w:val="clear" w:color="auto" w:fill="auto"/>
                  <w:hideMark/>
                </w:tcPr>
                <w:p w14:paraId="5D364386"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05C965AB"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807F0C" w14:paraId="5778E691" w14:textId="77777777" w:rsidTr="007B7A36">
              <w:trPr>
                <w:trHeight w:val="528"/>
              </w:trPr>
              <w:tc>
                <w:tcPr>
                  <w:tcW w:w="935" w:type="dxa"/>
                  <w:tcBorders>
                    <w:top w:val="nil"/>
                    <w:left w:val="nil"/>
                    <w:bottom w:val="nil"/>
                    <w:right w:val="nil"/>
                  </w:tcBorders>
                  <w:shd w:val="clear" w:color="auto" w:fill="auto"/>
                  <w:hideMark/>
                </w:tcPr>
                <w:p w14:paraId="3C69C665"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40ECE62F" w14:textId="69A308BE" w:rsidR="007532AB" w:rsidRPr="00807F0C" w:rsidRDefault="007532AB" w:rsidP="007532AB">
                  <w:pPr>
                    <w:widowControl/>
                    <w:autoSpaceDE/>
                    <w:autoSpaceDN/>
                    <w:adjustRightInd/>
                    <w:spacing w:line="240" w:lineRule="auto"/>
                    <w:rPr>
                      <w:rFonts w:eastAsia="Times New Roman" w:cs="Times New Roman"/>
                      <w:i/>
                      <w:iCs/>
                      <w:sz w:val="20"/>
                    </w:rPr>
                  </w:pPr>
                  <w:r>
                    <w:rPr>
                      <w:rFonts w:eastAsia="Times New Roman" w:cs="Times New Roman"/>
                      <w:i/>
                      <w:iCs/>
                      <w:sz w:val="20"/>
                    </w:rPr>
                    <w:t>Liczba</w:t>
                  </w:r>
                  <w:r w:rsidRPr="00807F0C">
                    <w:rPr>
                      <w:rFonts w:eastAsia="Times New Roman" w:cs="Times New Roman"/>
                      <w:i/>
                      <w:iCs/>
                      <w:sz w:val="20"/>
                    </w:rPr>
                    <w:t xml:space="preserve"> dni chorobowych 1 pracownika w roku</w:t>
                  </w:r>
                </w:p>
              </w:tc>
              <w:tc>
                <w:tcPr>
                  <w:tcW w:w="539" w:type="dxa"/>
                  <w:tcBorders>
                    <w:top w:val="nil"/>
                    <w:left w:val="nil"/>
                    <w:bottom w:val="nil"/>
                    <w:right w:val="nil"/>
                  </w:tcBorders>
                  <w:shd w:val="clear" w:color="auto" w:fill="auto"/>
                  <w:hideMark/>
                </w:tcPr>
                <w:p w14:paraId="5B477C94" w14:textId="77777777" w:rsidR="007532AB" w:rsidRPr="00807F0C" w:rsidRDefault="007532AB" w:rsidP="007532AB">
                  <w:pPr>
                    <w:widowControl/>
                    <w:autoSpaceDE/>
                    <w:autoSpaceDN/>
                    <w:adjustRightInd/>
                    <w:spacing w:line="240" w:lineRule="auto"/>
                    <w:rPr>
                      <w:rFonts w:eastAsia="Times New Roman" w:cs="Times New Roman"/>
                      <w:i/>
                      <w:iCs/>
                      <w:sz w:val="20"/>
                    </w:rPr>
                  </w:pPr>
                </w:p>
              </w:tc>
              <w:tc>
                <w:tcPr>
                  <w:tcW w:w="818" w:type="dxa"/>
                  <w:gridSpan w:val="2"/>
                  <w:tcBorders>
                    <w:top w:val="nil"/>
                    <w:left w:val="nil"/>
                    <w:bottom w:val="nil"/>
                    <w:right w:val="nil"/>
                  </w:tcBorders>
                  <w:shd w:val="clear" w:color="auto" w:fill="auto"/>
                  <w:hideMark/>
                </w:tcPr>
                <w:p w14:paraId="60831BFF"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r w:rsidRPr="00807F0C">
                    <w:rPr>
                      <w:rFonts w:eastAsia="Times New Roman" w:cs="Times New Roman"/>
                      <w:b/>
                      <w:bCs/>
                      <w:i/>
                      <w:iCs/>
                      <w:sz w:val="20"/>
                    </w:rPr>
                    <w:t>10</w:t>
                  </w:r>
                </w:p>
              </w:tc>
              <w:tc>
                <w:tcPr>
                  <w:tcW w:w="798" w:type="dxa"/>
                  <w:gridSpan w:val="2"/>
                  <w:tcBorders>
                    <w:top w:val="nil"/>
                    <w:left w:val="nil"/>
                    <w:bottom w:val="nil"/>
                    <w:right w:val="nil"/>
                  </w:tcBorders>
                  <w:shd w:val="clear" w:color="auto" w:fill="auto"/>
                  <w:hideMark/>
                </w:tcPr>
                <w:p w14:paraId="20D5E480"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p>
              </w:tc>
              <w:tc>
                <w:tcPr>
                  <w:tcW w:w="856" w:type="dxa"/>
                  <w:gridSpan w:val="2"/>
                  <w:tcBorders>
                    <w:top w:val="nil"/>
                    <w:left w:val="nil"/>
                    <w:bottom w:val="nil"/>
                    <w:right w:val="nil"/>
                  </w:tcBorders>
                  <w:shd w:val="clear" w:color="auto" w:fill="auto"/>
                  <w:hideMark/>
                </w:tcPr>
                <w:p w14:paraId="48ABB454"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7E31CC55"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807F0C" w14:paraId="4629AD0E" w14:textId="77777777" w:rsidTr="007B7A36">
              <w:trPr>
                <w:trHeight w:val="528"/>
              </w:trPr>
              <w:tc>
                <w:tcPr>
                  <w:tcW w:w="935" w:type="dxa"/>
                  <w:tcBorders>
                    <w:top w:val="nil"/>
                    <w:left w:val="nil"/>
                    <w:bottom w:val="nil"/>
                    <w:right w:val="nil"/>
                  </w:tcBorders>
                  <w:shd w:val="clear" w:color="auto" w:fill="auto"/>
                  <w:hideMark/>
                </w:tcPr>
                <w:p w14:paraId="54323519"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252BD38E" w14:textId="35906585" w:rsidR="007532AB" w:rsidRPr="00807F0C" w:rsidRDefault="007532AB" w:rsidP="007532AB">
                  <w:pPr>
                    <w:widowControl/>
                    <w:autoSpaceDE/>
                    <w:autoSpaceDN/>
                    <w:adjustRightInd/>
                    <w:spacing w:line="240" w:lineRule="auto"/>
                    <w:rPr>
                      <w:rFonts w:eastAsia="Times New Roman" w:cs="Times New Roman"/>
                      <w:i/>
                      <w:iCs/>
                      <w:sz w:val="20"/>
                    </w:rPr>
                  </w:pPr>
                  <w:r>
                    <w:rPr>
                      <w:rFonts w:eastAsia="Times New Roman" w:cs="Times New Roman"/>
                      <w:i/>
                      <w:iCs/>
                      <w:sz w:val="20"/>
                    </w:rPr>
                    <w:t>Liczba</w:t>
                  </w:r>
                  <w:r w:rsidRPr="00807F0C">
                    <w:rPr>
                      <w:rFonts w:eastAsia="Times New Roman" w:cs="Times New Roman"/>
                      <w:i/>
                      <w:iCs/>
                      <w:sz w:val="20"/>
                    </w:rPr>
                    <w:t xml:space="preserve"> dni szkoleniowych 1 pracownika w roku</w:t>
                  </w:r>
                </w:p>
              </w:tc>
              <w:tc>
                <w:tcPr>
                  <w:tcW w:w="539" w:type="dxa"/>
                  <w:tcBorders>
                    <w:top w:val="nil"/>
                    <w:left w:val="nil"/>
                    <w:bottom w:val="nil"/>
                    <w:right w:val="nil"/>
                  </w:tcBorders>
                  <w:shd w:val="clear" w:color="auto" w:fill="auto"/>
                  <w:hideMark/>
                </w:tcPr>
                <w:p w14:paraId="1D5FAF67" w14:textId="77777777" w:rsidR="007532AB" w:rsidRPr="00807F0C" w:rsidRDefault="007532AB" w:rsidP="007532AB">
                  <w:pPr>
                    <w:widowControl/>
                    <w:autoSpaceDE/>
                    <w:autoSpaceDN/>
                    <w:adjustRightInd/>
                    <w:spacing w:line="240" w:lineRule="auto"/>
                    <w:rPr>
                      <w:rFonts w:eastAsia="Times New Roman" w:cs="Times New Roman"/>
                      <w:i/>
                      <w:iCs/>
                      <w:sz w:val="20"/>
                    </w:rPr>
                  </w:pPr>
                </w:p>
              </w:tc>
              <w:tc>
                <w:tcPr>
                  <w:tcW w:w="818" w:type="dxa"/>
                  <w:gridSpan w:val="2"/>
                  <w:tcBorders>
                    <w:top w:val="nil"/>
                    <w:left w:val="nil"/>
                    <w:bottom w:val="nil"/>
                    <w:right w:val="nil"/>
                  </w:tcBorders>
                  <w:shd w:val="clear" w:color="auto" w:fill="auto"/>
                  <w:hideMark/>
                </w:tcPr>
                <w:p w14:paraId="7AD8BA76"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r w:rsidRPr="00807F0C">
                    <w:rPr>
                      <w:rFonts w:eastAsia="Times New Roman" w:cs="Times New Roman"/>
                      <w:b/>
                      <w:bCs/>
                      <w:i/>
                      <w:iCs/>
                      <w:sz w:val="20"/>
                    </w:rPr>
                    <w:t>7</w:t>
                  </w:r>
                </w:p>
              </w:tc>
              <w:tc>
                <w:tcPr>
                  <w:tcW w:w="798" w:type="dxa"/>
                  <w:gridSpan w:val="2"/>
                  <w:tcBorders>
                    <w:top w:val="nil"/>
                    <w:left w:val="nil"/>
                    <w:bottom w:val="nil"/>
                    <w:right w:val="nil"/>
                  </w:tcBorders>
                  <w:shd w:val="clear" w:color="auto" w:fill="auto"/>
                  <w:hideMark/>
                </w:tcPr>
                <w:p w14:paraId="67763BF9" w14:textId="77777777" w:rsidR="007532AB" w:rsidRPr="00807F0C" w:rsidRDefault="007532AB" w:rsidP="007532AB">
                  <w:pPr>
                    <w:widowControl/>
                    <w:autoSpaceDE/>
                    <w:autoSpaceDN/>
                    <w:adjustRightInd/>
                    <w:spacing w:line="240" w:lineRule="auto"/>
                    <w:jc w:val="right"/>
                    <w:rPr>
                      <w:rFonts w:eastAsia="Times New Roman" w:cs="Times New Roman"/>
                      <w:b/>
                      <w:bCs/>
                      <w:i/>
                      <w:iCs/>
                      <w:sz w:val="20"/>
                    </w:rPr>
                  </w:pPr>
                </w:p>
              </w:tc>
              <w:tc>
                <w:tcPr>
                  <w:tcW w:w="856" w:type="dxa"/>
                  <w:gridSpan w:val="2"/>
                  <w:tcBorders>
                    <w:top w:val="nil"/>
                    <w:left w:val="nil"/>
                    <w:bottom w:val="nil"/>
                    <w:right w:val="nil"/>
                  </w:tcBorders>
                  <w:shd w:val="clear" w:color="auto" w:fill="auto"/>
                  <w:hideMark/>
                </w:tcPr>
                <w:p w14:paraId="3DE7AA15"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7B74AD4F"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807F0C" w14:paraId="0841DD50" w14:textId="77777777" w:rsidTr="007B7A36">
              <w:trPr>
                <w:trHeight w:val="264"/>
              </w:trPr>
              <w:tc>
                <w:tcPr>
                  <w:tcW w:w="935" w:type="dxa"/>
                  <w:tcBorders>
                    <w:top w:val="nil"/>
                    <w:left w:val="nil"/>
                    <w:bottom w:val="nil"/>
                    <w:right w:val="nil"/>
                  </w:tcBorders>
                  <w:shd w:val="clear" w:color="auto" w:fill="auto"/>
                  <w:hideMark/>
                </w:tcPr>
                <w:p w14:paraId="47E0C794"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3636" w:type="dxa"/>
                  <w:gridSpan w:val="2"/>
                  <w:tcBorders>
                    <w:top w:val="nil"/>
                    <w:left w:val="nil"/>
                    <w:bottom w:val="nil"/>
                    <w:right w:val="nil"/>
                  </w:tcBorders>
                  <w:shd w:val="clear" w:color="auto" w:fill="auto"/>
                  <w:hideMark/>
                </w:tcPr>
                <w:p w14:paraId="15555C46"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539" w:type="dxa"/>
                  <w:tcBorders>
                    <w:top w:val="nil"/>
                    <w:left w:val="nil"/>
                    <w:bottom w:val="nil"/>
                    <w:right w:val="nil"/>
                  </w:tcBorders>
                  <w:shd w:val="clear" w:color="auto" w:fill="auto"/>
                  <w:hideMark/>
                </w:tcPr>
                <w:p w14:paraId="06C1A54D"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818" w:type="dxa"/>
                  <w:gridSpan w:val="2"/>
                  <w:tcBorders>
                    <w:top w:val="nil"/>
                    <w:left w:val="nil"/>
                    <w:bottom w:val="nil"/>
                    <w:right w:val="nil"/>
                  </w:tcBorders>
                  <w:shd w:val="clear" w:color="auto" w:fill="auto"/>
                  <w:hideMark/>
                </w:tcPr>
                <w:p w14:paraId="4DEF3378"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798" w:type="dxa"/>
                  <w:gridSpan w:val="2"/>
                  <w:tcBorders>
                    <w:top w:val="nil"/>
                    <w:left w:val="nil"/>
                    <w:bottom w:val="nil"/>
                    <w:right w:val="nil"/>
                  </w:tcBorders>
                  <w:shd w:val="clear" w:color="auto" w:fill="auto"/>
                  <w:hideMark/>
                </w:tcPr>
                <w:p w14:paraId="6C965AC8"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856" w:type="dxa"/>
                  <w:gridSpan w:val="2"/>
                  <w:tcBorders>
                    <w:top w:val="nil"/>
                    <w:left w:val="nil"/>
                    <w:bottom w:val="nil"/>
                    <w:right w:val="nil"/>
                  </w:tcBorders>
                  <w:shd w:val="clear" w:color="auto" w:fill="auto"/>
                  <w:hideMark/>
                </w:tcPr>
                <w:p w14:paraId="5F25A2D7" w14:textId="77777777" w:rsidR="007532AB" w:rsidRPr="00807F0C" w:rsidRDefault="007532AB" w:rsidP="007532AB">
                  <w:pPr>
                    <w:widowControl/>
                    <w:autoSpaceDE/>
                    <w:autoSpaceDN/>
                    <w:adjustRightInd/>
                    <w:spacing w:line="240" w:lineRule="auto"/>
                    <w:rPr>
                      <w:rFonts w:eastAsia="Times New Roman" w:cs="Times New Roman"/>
                      <w:sz w:val="20"/>
                    </w:rPr>
                  </w:pPr>
                </w:p>
              </w:tc>
              <w:tc>
                <w:tcPr>
                  <w:tcW w:w="1298" w:type="dxa"/>
                  <w:tcBorders>
                    <w:top w:val="nil"/>
                    <w:left w:val="nil"/>
                    <w:bottom w:val="nil"/>
                    <w:right w:val="nil"/>
                  </w:tcBorders>
                  <w:shd w:val="clear" w:color="auto" w:fill="auto"/>
                  <w:hideMark/>
                </w:tcPr>
                <w:p w14:paraId="41E4F96F" w14:textId="77777777" w:rsidR="007532AB" w:rsidRPr="00807F0C" w:rsidRDefault="007532AB" w:rsidP="007532AB">
                  <w:pPr>
                    <w:widowControl/>
                    <w:autoSpaceDE/>
                    <w:autoSpaceDN/>
                    <w:adjustRightInd/>
                    <w:spacing w:line="240" w:lineRule="auto"/>
                    <w:rPr>
                      <w:rFonts w:eastAsia="Times New Roman" w:cs="Times New Roman"/>
                      <w:sz w:val="20"/>
                    </w:rPr>
                  </w:pPr>
                </w:p>
              </w:tc>
            </w:tr>
            <w:tr w:rsidR="007532AB" w:rsidRPr="00140032" w14:paraId="33C222B5" w14:textId="77777777" w:rsidTr="007B7A36">
              <w:trPr>
                <w:trHeight w:val="528"/>
              </w:trPr>
              <w:tc>
                <w:tcPr>
                  <w:tcW w:w="3636" w:type="dxa"/>
                  <w:gridSpan w:val="2"/>
                  <w:tcBorders>
                    <w:top w:val="nil"/>
                    <w:left w:val="nil"/>
                    <w:bottom w:val="nil"/>
                    <w:right w:val="nil"/>
                  </w:tcBorders>
                  <w:shd w:val="clear" w:color="auto" w:fill="auto"/>
                  <w:hideMark/>
                </w:tcPr>
                <w:p w14:paraId="04CC8815" w14:textId="0E019C9F" w:rsidR="007532AB" w:rsidRPr="00140032" w:rsidRDefault="007532AB" w:rsidP="007532AB">
                  <w:pPr>
                    <w:spacing w:line="240" w:lineRule="auto"/>
                    <w:rPr>
                      <w:rFonts w:eastAsia="Times New Roman"/>
                      <w:b/>
                      <w:bCs/>
                      <w:sz w:val="20"/>
                      <w:u w:val="single"/>
                    </w:rPr>
                  </w:pPr>
                  <w:r>
                    <w:rPr>
                      <w:rFonts w:eastAsia="Times New Roman"/>
                      <w:b/>
                      <w:bCs/>
                      <w:sz w:val="20"/>
                      <w:u w:val="single"/>
                    </w:rPr>
                    <w:t>Liczba</w:t>
                  </w:r>
                  <w:r w:rsidRPr="00140032">
                    <w:rPr>
                      <w:rFonts w:eastAsia="Times New Roman"/>
                      <w:b/>
                      <w:bCs/>
                      <w:sz w:val="20"/>
                      <w:u w:val="single"/>
                    </w:rPr>
                    <w:t xml:space="preserve"> roboczogodzin oferowanych w roku przez 1 pracownika </w:t>
                  </w:r>
                </w:p>
              </w:tc>
              <w:tc>
                <w:tcPr>
                  <w:tcW w:w="539" w:type="dxa"/>
                  <w:tcBorders>
                    <w:top w:val="nil"/>
                    <w:left w:val="nil"/>
                    <w:bottom w:val="nil"/>
                    <w:right w:val="nil"/>
                  </w:tcBorders>
                  <w:shd w:val="clear" w:color="auto" w:fill="auto"/>
                  <w:hideMark/>
                </w:tcPr>
                <w:p w14:paraId="358D53C3" w14:textId="77777777" w:rsidR="007532AB" w:rsidRPr="00140032" w:rsidRDefault="007532AB" w:rsidP="007532AB">
                  <w:pPr>
                    <w:spacing w:line="240" w:lineRule="auto"/>
                    <w:rPr>
                      <w:rFonts w:eastAsia="Times New Roman"/>
                      <w:b/>
                      <w:bCs/>
                      <w:sz w:val="20"/>
                      <w:u w:val="single"/>
                    </w:rPr>
                  </w:pPr>
                </w:p>
              </w:tc>
              <w:tc>
                <w:tcPr>
                  <w:tcW w:w="818" w:type="dxa"/>
                  <w:gridSpan w:val="2"/>
                  <w:tcBorders>
                    <w:top w:val="nil"/>
                    <w:left w:val="nil"/>
                    <w:bottom w:val="nil"/>
                    <w:right w:val="nil"/>
                  </w:tcBorders>
                  <w:shd w:val="clear" w:color="auto" w:fill="auto"/>
                  <w:hideMark/>
                </w:tcPr>
                <w:p w14:paraId="09D33A48" w14:textId="77777777" w:rsidR="007532AB" w:rsidRPr="00140032" w:rsidRDefault="007532AB" w:rsidP="007532AB">
                  <w:pPr>
                    <w:spacing w:line="240" w:lineRule="auto"/>
                    <w:jc w:val="right"/>
                    <w:rPr>
                      <w:rFonts w:eastAsia="Times New Roman"/>
                      <w:b/>
                      <w:bCs/>
                      <w:sz w:val="20"/>
                    </w:rPr>
                  </w:pPr>
                  <w:r w:rsidRPr="00140032">
                    <w:rPr>
                      <w:rFonts w:eastAsia="Times New Roman"/>
                      <w:b/>
                      <w:bCs/>
                      <w:sz w:val="20"/>
                    </w:rPr>
                    <w:t>1463</w:t>
                  </w:r>
                </w:p>
              </w:tc>
              <w:tc>
                <w:tcPr>
                  <w:tcW w:w="798" w:type="dxa"/>
                  <w:gridSpan w:val="2"/>
                  <w:tcBorders>
                    <w:top w:val="nil"/>
                    <w:left w:val="nil"/>
                    <w:bottom w:val="nil"/>
                    <w:right w:val="nil"/>
                  </w:tcBorders>
                  <w:shd w:val="clear" w:color="auto" w:fill="auto"/>
                  <w:hideMark/>
                </w:tcPr>
                <w:p w14:paraId="076F98DA" w14:textId="77777777" w:rsidR="007532AB" w:rsidRPr="00140032" w:rsidRDefault="007532AB" w:rsidP="007532AB">
                  <w:pPr>
                    <w:spacing w:line="240" w:lineRule="auto"/>
                    <w:jc w:val="right"/>
                    <w:rPr>
                      <w:rFonts w:eastAsia="Times New Roman"/>
                      <w:b/>
                      <w:bCs/>
                      <w:sz w:val="20"/>
                    </w:rPr>
                  </w:pPr>
                </w:p>
              </w:tc>
              <w:tc>
                <w:tcPr>
                  <w:tcW w:w="856" w:type="dxa"/>
                  <w:gridSpan w:val="2"/>
                  <w:tcBorders>
                    <w:top w:val="nil"/>
                    <w:left w:val="nil"/>
                    <w:bottom w:val="nil"/>
                    <w:right w:val="nil"/>
                  </w:tcBorders>
                  <w:shd w:val="clear" w:color="auto" w:fill="auto"/>
                  <w:hideMark/>
                </w:tcPr>
                <w:p w14:paraId="5F479B9D"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5929CD9F" w14:textId="77777777" w:rsidR="007532AB" w:rsidRPr="00140032" w:rsidRDefault="007532AB" w:rsidP="007532AB">
                  <w:pPr>
                    <w:spacing w:line="240" w:lineRule="auto"/>
                    <w:rPr>
                      <w:rFonts w:eastAsia="Times New Roman"/>
                      <w:sz w:val="20"/>
                    </w:rPr>
                  </w:pPr>
                </w:p>
              </w:tc>
            </w:tr>
            <w:tr w:rsidR="007532AB" w:rsidRPr="00140032" w14:paraId="3A97BE1D" w14:textId="77777777" w:rsidTr="007B7A36">
              <w:trPr>
                <w:trHeight w:val="528"/>
              </w:trPr>
              <w:tc>
                <w:tcPr>
                  <w:tcW w:w="3636" w:type="dxa"/>
                  <w:gridSpan w:val="2"/>
                  <w:tcBorders>
                    <w:top w:val="nil"/>
                    <w:left w:val="nil"/>
                    <w:bottom w:val="nil"/>
                    <w:right w:val="nil"/>
                  </w:tcBorders>
                  <w:shd w:val="clear" w:color="auto" w:fill="auto"/>
                  <w:hideMark/>
                </w:tcPr>
                <w:p w14:paraId="39BA3A58" w14:textId="77777777" w:rsidR="007532AB" w:rsidRPr="00140032" w:rsidRDefault="007532AB" w:rsidP="007532AB">
                  <w:pPr>
                    <w:spacing w:line="240" w:lineRule="auto"/>
                    <w:rPr>
                      <w:rFonts w:eastAsia="Times New Roman"/>
                      <w:b/>
                      <w:bCs/>
                      <w:sz w:val="20"/>
                      <w:u w:val="single"/>
                    </w:rPr>
                  </w:pPr>
                  <w:r w:rsidRPr="00140032">
                    <w:rPr>
                      <w:rFonts w:eastAsia="Times New Roman"/>
                      <w:b/>
                      <w:bCs/>
                      <w:sz w:val="20"/>
                      <w:u w:val="single"/>
                    </w:rPr>
                    <w:t>Roczna pracochłonność zadań obszaru (wg wykazu)</w:t>
                  </w:r>
                </w:p>
              </w:tc>
              <w:tc>
                <w:tcPr>
                  <w:tcW w:w="539" w:type="dxa"/>
                  <w:tcBorders>
                    <w:top w:val="nil"/>
                    <w:left w:val="nil"/>
                    <w:bottom w:val="nil"/>
                    <w:right w:val="nil"/>
                  </w:tcBorders>
                  <w:shd w:val="clear" w:color="auto" w:fill="auto"/>
                  <w:hideMark/>
                </w:tcPr>
                <w:p w14:paraId="385D0B79" w14:textId="77777777" w:rsidR="007532AB" w:rsidRPr="00140032" w:rsidRDefault="007532AB" w:rsidP="007532AB">
                  <w:pPr>
                    <w:spacing w:line="240" w:lineRule="auto"/>
                    <w:rPr>
                      <w:rFonts w:eastAsia="Times New Roman"/>
                      <w:b/>
                      <w:bCs/>
                      <w:sz w:val="20"/>
                      <w:u w:val="single"/>
                    </w:rPr>
                  </w:pPr>
                </w:p>
              </w:tc>
              <w:tc>
                <w:tcPr>
                  <w:tcW w:w="818" w:type="dxa"/>
                  <w:gridSpan w:val="2"/>
                  <w:tcBorders>
                    <w:top w:val="nil"/>
                    <w:left w:val="nil"/>
                    <w:bottom w:val="nil"/>
                    <w:right w:val="nil"/>
                  </w:tcBorders>
                  <w:shd w:val="clear" w:color="auto" w:fill="auto"/>
                  <w:hideMark/>
                </w:tcPr>
                <w:p w14:paraId="648E0210" w14:textId="6B7E008E" w:rsidR="007532AB" w:rsidRPr="00140032" w:rsidRDefault="007532AB" w:rsidP="007532AB">
                  <w:pPr>
                    <w:spacing w:line="240" w:lineRule="auto"/>
                    <w:jc w:val="right"/>
                    <w:rPr>
                      <w:rFonts w:eastAsia="Times New Roman"/>
                      <w:i/>
                      <w:iCs/>
                      <w:sz w:val="20"/>
                    </w:rPr>
                  </w:pPr>
                  <w:r>
                    <w:rPr>
                      <w:rFonts w:eastAsia="Times New Roman"/>
                      <w:i/>
                      <w:iCs/>
                      <w:sz w:val="20"/>
                    </w:rPr>
                    <w:t>21500</w:t>
                  </w:r>
                </w:p>
              </w:tc>
              <w:tc>
                <w:tcPr>
                  <w:tcW w:w="798" w:type="dxa"/>
                  <w:gridSpan w:val="2"/>
                  <w:tcBorders>
                    <w:top w:val="nil"/>
                    <w:left w:val="nil"/>
                    <w:bottom w:val="nil"/>
                    <w:right w:val="nil"/>
                  </w:tcBorders>
                  <w:shd w:val="clear" w:color="auto" w:fill="auto"/>
                  <w:hideMark/>
                </w:tcPr>
                <w:p w14:paraId="36F2093D" w14:textId="77777777" w:rsidR="007532AB" w:rsidRPr="00140032" w:rsidRDefault="007532AB" w:rsidP="007532AB">
                  <w:pPr>
                    <w:spacing w:line="240" w:lineRule="auto"/>
                    <w:jc w:val="right"/>
                    <w:rPr>
                      <w:rFonts w:eastAsia="Times New Roman"/>
                      <w:i/>
                      <w:iCs/>
                      <w:sz w:val="20"/>
                    </w:rPr>
                  </w:pPr>
                </w:p>
              </w:tc>
              <w:tc>
                <w:tcPr>
                  <w:tcW w:w="856" w:type="dxa"/>
                  <w:gridSpan w:val="2"/>
                  <w:tcBorders>
                    <w:top w:val="nil"/>
                    <w:left w:val="nil"/>
                    <w:bottom w:val="nil"/>
                    <w:right w:val="nil"/>
                  </w:tcBorders>
                  <w:shd w:val="clear" w:color="auto" w:fill="auto"/>
                  <w:hideMark/>
                </w:tcPr>
                <w:p w14:paraId="7E593270"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3EF0E541" w14:textId="77777777" w:rsidR="007532AB" w:rsidRPr="00140032" w:rsidRDefault="007532AB" w:rsidP="007532AB">
                  <w:pPr>
                    <w:spacing w:line="240" w:lineRule="auto"/>
                    <w:rPr>
                      <w:rFonts w:eastAsia="Times New Roman"/>
                      <w:sz w:val="20"/>
                    </w:rPr>
                  </w:pPr>
                </w:p>
              </w:tc>
            </w:tr>
            <w:tr w:rsidR="007532AB" w:rsidRPr="00140032" w14:paraId="45129D6D" w14:textId="77777777" w:rsidTr="007B7A36">
              <w:trPr>
                <w:trHeight w:val="264"/>
              </w:trPr>
              <w:tc>
                <w:tcPr>
                  <w:tcW w:w="3636" w:type="dxa"/>
                  <w:gridSpan w:val="2"/>
                  <w:tcBorders>
                    <w:top w:val="nil"/>
                    <w:left w:val="nil"/>
                    <w:bottom w:val="nil"/>
                    <w:right w:val="nil"/>
                  </w:tcBorders>
                  <w:shd w:val="clear" w:color="auto" w:fill="auto"/>
                  <w:hideMark/>
                </w:tcPr>
                <w:p w14:paraId="6A652DA8" w14:textId="77777777" w:rsidR="007532AB" w:rsidRPr="00140032" w:rsidRDefault="007532AB" w:rsidP="007532AB">
                  <w:pPr>
                    <w:spacing w:line="240" w:lineRule="auto"/>
                    <w:rPr>
                      <w:rFonts w:eastAsia="Times New Roman"/>
                      <w:sz w:val="20"/>
                    </w:rPr>
                  </w:pPr>
                </w:p>
              </w:tc>
              <w:tc>
                <w:tcPr>
                  <w:tcW w:w="539" w:type="dxa"/>
                  <w:tcBorders>
                    <w:top w:val="nil"/>
                    <w:left w:val="nil"/>
                    <w:bottom w:val="nil"/>
                    <w:right w:val="nil"/>
                  </w:tcBorders>
                  <w:shd w:val="clear" w:color="auto" w:fill="auto"/>
                  <w:hideMark/>
                </w:tcPr>
                <w:p w14:paraId="46957F0A" w14:textId="77777777" w:rsidR="007532AB" w:rsidRPr="00140032" w:rsidRDefault="007532AB" w:rsidP="007532AB">
                  <w:pPr>
                    <w:spacing w:line="240" w:lineRule="auto"/>
                    <w:jc w:val="right"/>
                    <w:rPr>
                      <w:rFonts w:eastAsia="Times New Roman"/>
                      <w:sz w:val="20"/>
                    </w:rPr>
                  </w:pPr>
                </w:p>
              </w:tc>
              <w:tc>
                <w:tcPr>
                  <w:tcW w:w="818" w:type="dxa"/>
                  <w:gridSpan w:val="2"/>
                  <w:tcBorders>
                    <w:top w:val="nil"/>
                    <w:left w:val="nil"/>
                    <w:bottom w:val="nil"/>
                    <w:right w:val="nil"/>
                  </w:tcBorders>
                  <w:shd w:val="clear" w:color="auto" w:fill="auto"/>
                  <w:hideMark/>
                </w:tcPr>
                <w:p w14:paraId="703789E2" w14:textId="77777777" w:rsidR="007532AB" w:rsidRPr="00140032" w:rsidRDefault="007532AB" w:rsidP="007532AB">
                  <w:pPr>
                    <w:spacing w:line="240" w:lineRule="auto"/>
                    <w:rPr>
                      <w:rFonts w:eastAsia="Times New Roman"/>
                      <w:sz w:val="20"/>
                    </w:rPr>
                  </w:pPr>
                </w:p>
              </w:tc>
              <w:tc>
                <w:tcPr>
                  <w:tcW w:w="798" w:type="dxa"/>
                  <w:gridSpan w:val="2"/>
                  <w:tcBorders>
                    <w:top w:val="nil"/>
                    <w:left w:val="nil"/>
                    <w:bottom w:val="nil"/>
                    <w:right w:val="nil"/>
                  </w:tcBorders>
                  <w:shd w:val="clear" w:color="auto" w:fill="auto"/>
                  <w:hideMark/>
                </w:tcPr>
                <w:p w14:paraId="1DB1887B" w14:textId="77777777" w:rsidR="007532AB" w:rsidRPr="00140032" w:rsidRDefault="007532AB" w:rsidP="007532AB">
                  <w:pPr>
                    <w:spacing w:line="240" w:lineRule="auto"/>
                    <w:rPr>
                      <w:rFonts w:eastAsia="Times New Roman"/>
                      <w:sz w:val="20"/>
                    </w:rPr>
                  </w:pPr>
                </w:p>
              </w:tc>
              <w:tc>
                <w:tcPr>
                  <w:tcW w:w="856" w:type="dxa"/>
                  <w:gridSpan w:val="2"/>
                  <w:tcBorders>
                    <w:top w:val="nil"/>
                    <w:left w:val="nil"/>
                    <w:bottom w:val="nil"/>
                    <w:right w:val="nil"/>
                  </w:tcBorders>
                  <w:shd w:val="clear" w:color="auto" w:fill="auto"/>
                  <w:hideMark/>
                </w:tcPr>
                <w:p w14:paraId="3ECDA762"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729B2620" w14:textId="77777777" w:rsidR="007532AB" w:rsidRPr="00140032" w:rsidRDefault="007532AB" w:rsidP="007532AB">
                  <w:pPr>
                    <w:spacing w:line="240" w:lineRule="auto"/>
                    <w:rPr>
                      <w:rFonts w:eastAsia="Times New Roman"/>
                      <w:sz w:val="20"/>
                    </w:rPr>
                  </w:pPr>
                </w:p>
              </w:tc>
            </w:tr>
            <w:tr w:rsidR="007532AB" w:rsidRPr="00140032" w14:paraId="17C2E6C8" w14:textId="77777777" w:rsidTr="007B7A36">
              <w:trPr>
                <w:trHeight w:val="84"/>
              </w:trPr>
              <w:tc>
                <w:tcPr>
                  <w:tcW w:w="3636" w:type="dxa"/>
                  <w:gridSpan w:val="2"/>
                  <w:tcBorders>
                    <w:top w:val="nil"/>
                    <w:left w:val="nil"/>
                    <w:bottom w:val="nil"/>
                    <w:right w:val="nil"/>
                  </w:tcBorders>
                  <w:shd w:val="clear" w:color="auto" w:fill="auto"/>
                  <w:hideMark/>
                </w:tcPr>
                <w:p w14:paraId="762E258D" w14:textId="77777777" w:rsidR="007532AB" w:rsidRPr="00140032" w:rsidRDefault="007532AB" w:rsidP="007532AB">
                  <w:pPr>
                    <w:spacing w:line="240" w:lineRule="auto"/>
                    <w:rPr>
                      <w:rFonts w:eastAsia="Times New Roman"/>
                      <w:sz w:val="20"/>
                    </w:rPr>
                  </w:pPr>
                </w:p>
              </w:tc>
              <w:tc>
                <w:tcPr>
                  <w:tcW w:w="539" w:type="dxa"/>
                  <w:tcBorders>
                    <w:top w:val="nil"/>
                    <w:left w:val="nil"/>
                    <w:bottom w:val="nil"/>
                    <w:right w:val="nil"/>
                  </w:tcBorders>
                  <w:shd w:val="clear" w:color="auto" w:fill="auto"/>
                  <w:hideMark/>
                </w:tcPr>
                <w:p w14:paraId="636392F3" w14:textId="77777777" w:rsidR="007532AB" w:rsidRPr="00140032" w:rsidRDefault="007532AB" w:rsidP="007532AB">
                  <w:pPr>
                    <w:spacing w:line="240" w:lineRule="auto"/>
                    <w:rPr>
                      <w:rFonts w:eastAsia="Times New Roman"/>
                      <w:sz w:val="20"/>
                    </w:rPr>
                  </w:pPr>
                </w:p>
              </w:tc>
              <w:tc>
                <w:tcPr>
                  <w:tcW w:w="818" w:type="dxa"/>
                  <w:gridSpan w:val="2"/>
                  <w:tcBorders>
                    <w:top w:val="nil"/>
                    <w:left w:val="nil"/>
                    <w:bottom w:val="nil"/>
                    <w:right w:val="nil"/>
                  </w:tcBorders>
                  <w:shd w:val="clear" w:color="auto" w:fill="auto"/>
                  <w:hideMark/>
                </w:tcPr>
                <w:p w14:paraId="7E095083" w14:textId="77777777" w:rsidR="007532AB" w:rsidRPr="00140032" w:rsidRDefault="007532AB" w:rsidP="007532AB">
                  <w:pPr>
                    <w:spacing w:line="240" w:lineRule="auto"/>
                    <w:rPr>
                      <w:rFonts w:eastAsia="Times New Roman"/>
                      <w:sz w:val="20"/>
                    </w:rPr>
                  </w:pPr>
                </w:p>
              </w:tc>
              <w:tc>
                <w:tcPr>
                  <w:tcW w:w="798" w:type="dxa"/>
                  <w:gridSpan w:val="2"/>
                  <w:tcBorders>
                    <w:top w:val="nil"/>
                    <w:left w:val="nil"/>
                    <w:bottom w:val="nil"/>
                    <w:right w:val="nil"/>
                  </w:tcBorders>
                  <w:shd w:val="clear" w:color="auto" w:fill="auto"/>
                  <w:hideMark/>
                </w:tcPr>
                <w:p w14:paraId="4662A26F" w14:textId="77777777" w:rsidR="007532AB" w:rsidRPr="00140032" w:rsidRDefault="007532AB" w:rsidP="007532AB">
                  <w:pPr>
                    <w:spacing w:line="240" w:lineRule="auto"/>
                    <w:rPr>
                      <w:rFonts w:eastAsia="Times New Roman"/>
                      <w:sz w:val="20"/>
                    </w:rPr>
                  </w:pPr>
                </w:p>
              </w:tc>
              <w:tc>
                <w:tcPr>
                  <w:tcW w:w="856" w:type="dxa"/>
                  <w:gridSpan w:val="2"/>
                  <w:tcBorders>
                    <w:top w:val="nil"/>
                    <w:left w:val="nil"/>
                    <w:bottom w:val="nil"/>
                    <w:right w:val="nil"/>
                  </w:tcBorders>
                  <w:shd w:val="clear" w:color="auto" w:fill="auto"/>
                  <w:hideMark/>
                </w:tcPr>
                <w:p w14:paraId="50FE4514"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45ACF86A" w14:textId="77777777" w:rsidR="007532AB" w:rsidRPr="00140032" w:rsidRDefault="007532AB" w:rsidP="007532AB">
                  <w:pPr>
                    <w:spacing w:line="240" w:lineRule="auto"/>
                    <w:rPr>
                      <w:rFonts w:eastAsia="Times New Roman"/>
                      <w:sz w:val="20"/>
                    </w:rPr>
                  </w:pPr>
                </w:p>
              </w:tc>
            </w:tr>
            <w:tr w:rsidR="007532AB" w:rsidRPr="00140032" w14:paraId="019BDB46" w14:textId="77777777" w:rsidTr="007B7A36">
              <w:trPr>
                <w:trHeight w:val="264"/>
              </w:trPr>
              <w:tc>
                <w:tcPr>
                  <w:tcW w:w="3636" w:type="dxa"/>
                  <w:gridSpan w:val="2"/>
                  <w:tcBorders>
                    <w:top w:val="nil"/>
                    <w:left w:val="nil"/>
                    <w:bottom w:val="nil"/>
                    <w:right w:val="nil"/>
                  </w:tcBorders>
                  <w:shd w:val="clear" w:color="auto" w:fill="auto"/>
                  <w:hideMark/>
                </w:tcPr>
                <w:p w14:paraId="2B1C4C31" w14:textId="4C5DF064" w:rsidR="007532AB" w:rsidRPr="00140032" w:rsidRDefault="007532AB" w:rsidP="007532AB">
                  <w:pPr>
                    <w:spacing w:line="240" w:lineRule="auto"/>
                    <w:rPr>
                      <w:rFonts w:eastAsia="Times New Roman"/>
                      <w:sz w:val="20"/>
                      <w:u w:val="single"/>
                    </w:rPr>
                  </w:pPr>
                  <w:r>
                    <w:rPr>
                      <w:rFonts w:eastAsia="Times New Roman"/>
                      <w:sz w:val="20"/>
                      <w:u w:val="single"/>
                    </w:rPr>
                    <w:t>Wyliczona liczba</w:t>
                  </w:r>
                  <w:r w:rsidRPr="00140032">
                    <w:rPr>
                      <w:rFonts w:eastAsia="Times New Roman"/>
                      <w:sz w:val="20"/>
                      <w:u w:val="single"/>
                    </w:rPr>
                    <w:t xml:space="preserve"> personelu</w:t>
                  </w:r>
                </w:p>
              </w:tc>
              <w:tc>
                <w:tcPr>
                  <w:tcW w:w="539" w:type="dxa"/>
                  <w:tcBorders>
                    <w:top w:val="nil"/>
                    <w:left w:val="nil"/>
                    <w:bottom w:val="nil"/>
                    <w:right w:val="nil"/>
                  </w:tcBorders>
                  <w:shd w:val="clear" w:color="auto" w:fill="auto"/>
                  <w:hideMark/>
                </w:tcPr>
                <w:p w14:paraId="77A3BCDA" w14:textId="77777777" w:rsidR="007532AB" w:rsidRPr="00140032" w:rsidRDefault="007532AB" w:rsidP="007532AB">
                  <w:pPr>
                    <w:spacing w:line="240" w:lineRule="auto"/>
                    <w:rPr>
                      <w:rFonts w:eastAsia="Times New Roman"/>
                      <w:sz w:val="20"/>
                      <w:u w:val="single"/>
                    </w:rPr>
                  </w:pPr>
                </w:p>
              </w:tc>
              <w:tc>
                <w:tcPr>
                  <w:tcW w:w="818" w:type="dxa"/>
                  <w:gridSpan w:val="2"/>
                  <w:tcBorders>
                    <w:top w:val="nil"/>
                    <w:left w:val="nil"/>
                    <w:bottom w:val="nil"/>
                    <w:right w:val="nil"/>
                  </w:tcBorders>
                  <w:shd w:val="clear" w:color="auto" w:fill="auto"/>
                  <w:hideMark/>
                </w:tcPr>
                <w:p w14:paraId="5F90FB38" w14:textId="563FA1B3" w:rsidR="007532AB" w:rsidRPr="00140032" w:rsidRDefault="007532AB" w:rsidP="007532AB">
                  <w:pPr>
                    <w:spacing w:line="240" w:lineRule="auto"/>
                    <w:jc w:val="right"/>
                    <w:rPr>
                      <w:rFonts w:eastAsia="Times New Roman"/>
                      <w:sz w:val="20"/>
                    </w:rPr>
                  </w:pPr>
                  <w:r>
                    <w:rPr>
                      <w:rFonts w:eastAsia="Times New Roman"/>
                      <w:sz w:val="20"/>
                    </w:rPr>
                    <w:t>14,70</w:t>
                  </w:r>
                </w:p>
              </w:tc>
              <w:tc>
                <w:tcPr>
                  <w:tcW w:w="798" w:type="dxa"/>
                  <w:gridSpan w:val="2"/>
                  <w:tcBorders>
                    <w:top w:val="nil"/>
                    <w:left w:val="nil"/>
                    <w:bottom w:val="nil"/>
                    <w:right w:val="nil"/>
                  </w:tcBorders>
                  <w:shd w:val="clear" w:color="auto" w:fill="auto"/>
                  <w:hideMark/>
                </w:tcPr>
                <w:p w14:paraId="58026F48" w14:textId="77777777" w:rsidR="007532AB" w:rsidRPr="00140032" w:rsidRDefault="007532AB" w:rsidP="007532AB">
                  <w:pPr>
                    <w:spacing w:line="240" w:lineRule="auto"/>
                    <w:jc w:val="right"/>
                    <w:rPr>
                      <w:rFonts w:eastAsia="Times New Roman"/>
                      <w:sz w:val="20"/>
                    </w:rPr>
                  </w:pPr>
                </w:p>
              </w:tc>
              <w:tc>
                <w:tcPr>
                  <w:tcW w:w="856" w:type="dxa"/>
                  <w:gridSpan w:val="2"/>
                  <w:tcBorders>
                    <w:top w:val="nil"/>
                    <w:left w:val="nil"/>
                    <w:bottom w:val="nil"/>
                    <w:right w:val="nil"/>
                  </w:tcBorders>
                  <w:shd w:val="clear" w:color="auto" w:fill="auto"/>
                  <w:hideMark/>
                </w:tcPr>
                <w:p w14:paraId="7073F21F"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2B1C8EB7" w14:textId="77777777" w:rsidR="007532AB" w:rsidRPr="00140032" w:rsidRDefault="007532AB" w:rsidP="007532AB">
                  <w:pPr>
                    <w:spacing w:line="240" w:lineRule="auto"/>
                    <w:rPr>
                      <w:rFonts w:eastAsia="Times New Roman"/>
                      <w:sz w:val="20"/>
                    </w:rPr>
                  </w:pPr>
                </w:p>
              </w:tc>
            </w:tr>
            <w:tr w:rsidR="007532AB" w:rsidRPr="00140032" w14:paraId="3AFBD0AA" w14:textId="77777777" w:rsidTr="007B7A36">
              <w:trPr>
                <w:trHeight w:val="264"/>
              </w:trPr>
              <w:tc>
                <w:tcPr>
                  <w:tcW w:w="3636" w:type="dxa"/>
                  <w:gridSpan w:val="2"/>
                  <w:tcBorders>
                    <w:top w:val="nil"/>
                    <w:left w:val="nil"/>
                    <w:bottom w:val="nil"/>
                    <w:right w:val="nil"/>
                  </w:tcBorders>
                  <w:shd w:val="clear" w:color="auto" w:fill="auto"/>
                  <w:hideMark/>
                </w:tcPr>
                <w:p w14:paraId="5337C945" w14:textId="77777777" w:rsidR="007532AB" w:rsidRPr="00140032" w:rsidRDefault="007532AB" w:rsidP="007532AB">
                  <w:pPr>
                    <w:spacing w:line="240" w:lineRule="auto"/>
                    <w:rPr>
                      <w:rFonts w:eastAsia="Times New Roman"/>
                      <w:sz w:val="20"/>
                    </w:rPr>
                  </w:pPr>
                </w:p>
              </w:tc>
              <w:tc>
                <w:tcPr>
                  <w:tcW w:w="539" w:type="dxa"/>
                  <w:tcBorders>
                    <w:top w:val="nil"/>
                    <w:left w:val="nil"/>
                    <w:bottom w:val="nil"/>
                    <w:right w:val="nil"/>
                  </w:tcBorders>
                  <w:shd w:val="clear" w:color="auto" w:fill="auto"/>
                  <w:hideMark/>
                </w:tcPr>
                <w:p w14:paraId="1E3148CA" w14:textId="77777777" w:rsidR="007532AB" w:rsidRPr="00140032" w:rsidRDefault="007532AB" w:rsidP="007532AB">
                  <w:pPr>
                    <w:spacing w:line="240" w:lineRule="auto"/>
                    <w:rPr>
                      <w:rFonts w:eastAsia="Times New Roman"/>
                      <w:sz w:val="20"/>
                    </w:rPr>
                  </w:pPr>
                </w:p>
              </w:tc>
              <w:tc>
                <w:tcPr>
                  <w:tcW w:w="818" w:type="dxa"/>
                  <w:gridSpan w:val="2"/>
                  <w:tcBorders>
                    <w:top w:val="nil"/>
                    <w:left w:val="nil"/>
                    <w:bottom w:val="nil"/>
                    <w:right w:val="nil"/>
                  </w:tcBorders>
                  <w:shd w:val="clear" w:color="auto" w:fill="auto"/>
                  <w:hideMark/>
                </w:tcPr>
                <w:p w14:paraId="63C241D3" w14:textId="77777777" w:rsidR="007532AB" w:rsidRPr="00140032" w:rsidRDefault="007532AB" w:rsidP="007532AB">
                  <w:pPr>
                    <w:spacing w:line="240" w:lineRule="auto"/>
                    <w:rPr>
                      <w:rFonts w:eastAsia="Times New Roman"/>
                      <w:sz w:val="20"/>
                    </w:rPr>
                  </w:pPr>
                </w:p>
              </w:tc>
              <w:tc>
                <w:tcPr>
                  <w:tcW w:w="798" w:type="dxa"/>
                  <w:gridSpan w:val="2"/>
                  <w:tcBorders>
                    <w:top w:val="nil"/>
                    <w:left w:val="nil"/>
                    <w:bottom w:val="nil"/>
                    <w:right w:val="nil"/>
                  </w:tcBorders>
                  <w:shd w:val="clear" w:color="auto" w:fill="auto"/>
                  <w:hideMark/>
                </w:tcPr>
                <w:p w14:paraId="2E6430B1" w14:textId="77777777" w:rsidR="007532AB" w:rsidRPr="00140032" w:rsidRDefault="007532AB" w:rsidP="007532AB">
                  <w:pPr>
                    <w:spacing w:line="240" w:lineRule="auto"/>
                    <w:rPr>
                      <w:rFonts w:eastAsia="Times New Roman"/>
                      <w:sz w:val="20"/>
                    </w:rPr>
                  </w:pPr>
                </w:p>
              </w:tc>
              <w:tc>
                <w:tcPr>
                  <w:tcW w:w="856" w:type="dxa"/>
                  <w:gridSpan w:val="2"/>
                  <w:tcBorders>
                    <w:top w:val="nil"/>
                    <w:left w:val="nil"/>
                    <w:bottom w:val="nil"/>
                    <w:right w:val="nil"/>
                  </w:tcBorders>
                  <w:shd w:val="clear" w:color="auto" w:fill="auto"/>
                  <w:hideMark/>
                </w:tcPr>
                <w:p w14:paraId="54ACC580"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0321991E" w14:textId="77777777" w:rsidR="007532AB" w:rsidRPr="00140032" w:rsidRDefault="007532AB" w:rsidP="007532AB">
                  <w:pPr>
                    <w:spacing w:line="240" w:lineRule="auto"/>
                    <w:rPr>
                      <w:rFonts w:eastAsia="Times New Roman"/>
                      <w:sz w:val="20"/>
                    </w:rPr>
                  </w:pPr>
                </w:p>
              </w:tc>
            </w:tr>
            <w:tr w:rsidR="007532AB" w:rsidRPr="00140032" w14:paraId="21582706" w14:textId="77777777" w:rsidTr="007B7A36">
              <w:trPr>
                <w:trHeight w:val="264"/>
              </w:trPr>
              <w:tc>
                <w:tcPr>
                  <w:tcW w:w="3636" w:type="dxa"/>
                  <w:gridSpan w:val="2"/>
                  <w:tcBorders>
                    <w:top w:val="nil"/>
                    <w:left w:val="nil"/>
                    <w:bottom w:val="nil"/>
                    <w:right w:val="nil"/>
                  </w:tcBorders>
                  <w:shd w:val="clear" w:color="auto" w:fill="auto"/>
                  <w:hideMark/>
                </w:tcPr>
                <w:p w14:paraId="6980EF83" w14:textId="686F4B2B" w:rsidR="007532AB" w:rsidRPr="00140032" w:rsidRDefault="007532AB" w:rsidP="007532AB">
                  <w:pPr>
                    <w:spacing w:line="240" w:lineRule="auto"/>
                    <w:rPr>
                      <w:rFonts w:eastAsia="Times New Roman"/>
                      <w:b/>
                      <w:bCs/>
                      <w:sz w:val="20"/>
                      <w:u w:val="single"/>
                    </w:rPr>
                  </w:pPr>
                  <w:r>
                    <w:rPr>
                      <w:rFonts w:eastAsia="Times New Roman"/>
                      <w:b/>
                      <w:bCs/>
                      <w:sz w:val="20"/>
                      <w:u w:val="single"/>
                    </w:rPr>
                    <w:t>Minimalna liczba</w:t>
                  </w:r>
                  <w:r w:rsidRPr="00140032">
                    <w:rPr>
                      <w:rFonts w:eastAsia="Times New Roman"/>
                      <w:b/>
                      <w:bCs/>
                      <w:sz w:val="20"/>
                      <w:u w:val="single"/>
                    </w:rPr>
                    <w:t xml:space="preserve"> etatów personelu</w:t>
                  </w:r>
                </w:p>
              </w:tc>
              <w:tc>
                <w:tcPr>
                  <w:tcW w:w="539" w:type="dxa"/>
                  <w:tcBorders>
                    <w:top w:val="nil"/>
                    <w:left w:val="nil"/>
                    <w:bottom w:val="nil"/>
                    <w:right w:val="nil"/>
                  </w:tcBorders>
                  <w:shd w:val="clear" w:color="auto" w:fill="auto"/>
                  <w:hideMark/>
                </w:tcPr>
                <w:p w14:paraId="127158B2" w14:textId="77777777" w:rsidR="007532AB" w:rsidRPr="00140032" w:rsidRDefault="007532AB" w:rsidP="007532AB">
                  <w:pPr>
                    <w:spacing w:line="240" w:lineRule="auto"/>
                    <w:rPr>
                      <w:rFonts w:eastAsia="Times New Roman"/>
                      <w:b/>
                      <w:bCs/>
                      <w:sz w:val="20"/>
                      <w:u w:val="single"/>
                    </w:rPr>
                  </w:pPr>
                </w:p>
              </w:tc>
              <w:tc>
                <w:tcPr>
                  <w:tcW w:w="818" w:type="dxa"/>
                  <w:gridSpan w:val="2"/>
                  <w:tcBorders>
                    <w:top w:val="nil"/>
                    <w:left w:val="nil"/>
                    <w:bottom w:val="nil"/>
                    <w:right w:val="nil"/>
                  </w:tcBorders>
                  <w:shd w:val="clear" w:color="auto" w:fill="auto"/>
                  <w:hideMark/>
                </w:tcPr>
                <w:p w14:paraId="216471EB" w14:textId="17D780BE" w:rsidR="007532AB" w:rsidRPr="00140032" w:rsidRDefault="007532AB" w:rsidP="007532AB">
                  <w:pPr>
                    <w:spacing w:line="240" w:lineRule="auto"/>
                    <w:jc w:val="right"/>
                    <w:rPr>
                      <w:rFonts w:eastAsia="Times New Roman"/>
                      <w:b/>
                      <w:bCs/>
                      <w:sz w:val="20"/>
                    </w:rPr>
                  </w:pPr>
                  <w:r>
                    <w:rPr>
                      <w:rFonts w:eastAsia="Times New Roman"/>
                      <w:b/>
                      <w:bCs/>
                      <w:sz w:val="20"/>
                    </w:rPr>
                    <w:t>15</w:t>
                  </w:r>
                  <w:r w:rsidRPr="00140032">
                    <w:rPr>
                      <w:rFonts w:eastAsia="Times New Roman"/>
                      <w:b/>
                      <w:bCs/>
                      <w:sz w:val="20"/>
                    </w:rPr>
                    <w:t>,00</w:t>
                  </w:r>
                </w:p>
              </w:tc>
              <w:tc>
                <w:tcPr>
                  <w:tcW w:w="798" w:type="dxa"/>
                  <w:gridSpan w:val="2"/>
                  <w:tcBorders>
                    <w:top w:val="nil"/>
                    <w:left w:val="nil"/>
                    <w:bottom w:val="nil"/>
                    <w:right w:val="nil"/>
                  </w:tcBorders>
                  <w:shd w:val="clear" w:color="auto" w:fill="auto"/>
                  <w:hideMark/>
                </w:tcPr>
                <w:p w14:paraId="25730244" w14:textId="77777777" w:rsidR="007532AB" w:rsidRPr="00140032" w:rsidRDefault="007532AB" w:rsidP="007532AB">
                  <w:pPr>
                    <w:spacing w:line="240" w:lineRule="auto"/>
                    <w:jc w:val="right"/>
                    <w:rPr>
                      <w:rFonts w:eastAsia="Times New Roman"/>
                      <w:b/>
                      <w:bCs/>
                      <w:sz w:val="20"/>
                    </w:rPr>
                  </w:pPr>
                </w:p>
              </w:tc>
              <w:tc>
                <w:tcPr>
                  <w:tcW w:w="856" w:type="dxa"/>
                  <w:gridSpan w:val="2"/>
                  <w:tcBorders>
                    <w:top w:val="nil"/>
                    <w:left w:val="nil"/>
                    <w:bottom w:val="nil"/>
                    <w:right w:val="nil"/>
                  </w:tcBorders>
                  <w:shd w:val="clear" w:color="auto" w:fill="auto"/>
                  <w:hideMark/>
                </w:tcPr>
                <w:p w14:paraId="482A9F87" w14:textId="77777777" w:rsidR="007532AB" w:rsidRPr="00140032" w:rsidRDefault="007532AB" w:rsidP="007532AB">
                  <w:pPr>
                    <w:spacing w:line="240" w:lineRule="auto"/>
                    <w:rPr>
                      <w:rFonts w:eastAsia="Times New Roman"/>
                      <w:sz w:val="20"/>
                    </w:rPr>
                  </w:pPr>
                </w:p>
              </w:tc>
              <w:tc>
                <w:tcPr>
                  <w:tcW w:w="1298" w:type="dxa"/>
                  <w:gridSpan w:val="2"/>
                  <w:tcBorders>
                    <w:top w:val="nil"/>
                    <w:left w:val="nil"/>
                    <w:bottom w:val="nil"/>
                    <w:right w:val="nil"/>
                  </w:tcBorders>
                  <w:shd w:val="clear" w:color="auto" w:fill="auto"/>
                  <w:hideMark/>
                </w:tcPr>
                <w:p w14:paraId="2636DA0F" w14:textId="77777777" w:rsidR="007532AB" w:rsidRPr="00140032" w:rsidRDefault="007532AB" w:rsidP="007532AB">
                  <w:pPr>
                    <w:spacing w:line="240" w:lineRule="auto"/>
                    <w:rPr>
                      <w:rFonts w:eastAsia="Times New Roman"/>
                      <w:sz w:val="20"/>
                    </w:rPr>
                  </w:pPr>
                </w:p>
              </w:tc>
            </w:tr>
            <w:tr w:rsidR="007532AB" w:rsidRPr="00140032" w14:paraId="6AC741B1" w14:textId="77777777" w:rsidTr="007B7A36">
              <w:trPr>
                <w:trHeight w:val="187"/>
              </w:trPr>
              <w:tc>
                <w:tcPr>
                  <w:tcW w:w="3636" w:type="dxa"/>
                  <w:gridSpan w:val="2"/>
                  <w:tcBorders>
                    <w:top w:val="nil"/>
                    <w:left w:val="nil"/>
                    <w:bottom w:val="single" w:sz="4" w:space="0" w:color="auto"/>
                    <w:right w:val="nil"/>
                  </w:tcBorders>
                  <w:shd w:val="clear" w:color="auto" w:fill="auto"/>
                  <w:hideMark/>
                </w:tcPr>
                <w:p w14:paraId="4DDDE626" w14:textId="77777777" w:rsidR="007532AB" w:rsidRPr="00140032" w:rsidRDefault="007532AB" w:rsidP="007532AB">
                  <w:pPr>
                    <w:spacing w:line="240" w:lineRule="auto"/>
                    <w:rPr>
                      <w:rFonts w:eastAsia="Times New Roman"/>
                      <w:sz w:val="20"/>
                    </w:rPr>
                  </w:pPr>
                </w:p>
              </w:tc>
              <w:tc>
                <w:tcPr>
                  <w:tcW w:w="539" w:type="dxa"/>
                  <w:tcBorders>
                    <w:top w:val="nil"/>
                    <w:left w:val="nil"/>
                    <w:bottom w:val="single" w:sz="4" w:space="0" w:color="auto"/>
                    <w:right w:val="nil"/>
                  </w:tcBorders>
                  <w:shd w:val="clear" w:color="auto" w:fill="auto"/>
                  <w:hideMark/>
                </w:tcPr>
                <w:p w14:paraId="54D318E5" w14:textId="77777777" w:rsidR="007532AB" w:rsidRPr="00140032" w:rsidRDefault="007532AB" w:rsidP="007532AB">
                  <w:pPr>
                    <w:spacing w:line="240" w:lineRule="auto"/>
                    <w:rPr>
                      <w:rFonts w:eastAsia="Times New Roman"/>
                      <w:sz w:val="20"/>
                    </w:rPr>
                  </w:pPr>
                </w:p>
              </w:tc>
              <w:tc>
                <w:tcPr>
                  <w:tcW w:w="818" w:type="dxa"/>
                  <w:gridSpan w:val="2"/>
                  <w:tcBorders>
                    <w:top w:val="nil"/>
                    <w:left w:val="nil"/>
                    <w:bottom w:val="single" w:sz="4" w:space="0" w:color="auto"/>
                    <w:right w:val="nil"/>
                  </w:tcBorders>
                  <w:shd w:val="clear" w:color="auto" w:fill="auto"/>
                  <w:hideMark/>
                </w:tcPr>
                <w:p w14:paraId="416EE1E8" w14:textId="77777777" w:rsidR="007532AB" w:rsidRPr="00140032" w:rsidRDefault="007532AB" w:rsidP="007532AB">
                  <w:pPr>
                    <w:spacing w:line="240" w:lineRule="auto"/>
                    <w:rPr>
                      <w:rFonts w:eastAsia="Times New Roman"/>
                      <w:sz w:val="20"/>
                    </w:rPr>
                  </w:pPr>
                </w:p>
              </w:tc>
              <w:tc>
                <w:tcPr>
                  <w:tcW w:w="798" w:type="dxa"/>
                  <w:gridSpan w:val="2"/>
                  <w:tcBorders>
                    <w:top w:val="nil"/>
                    <w:left w:val="nil"/>
                    <w:bottom w:val="single" w:sz="4" w:space="0" w:color="auto"/>
                    <w:right w:val="nil"/>
                  </w:tcBorders>
                  <w:shd w:val="clear" w:color="auto" w:fill="auto"/>
                  <w:hideMark/>
                </w:tcPr>
                <w:p w14:paraId="55DD5D84" w14:textId="77777777" w:rsidR="007532AB" w:rsidRPr="00140032" w:rsidRDefault="007532AB" w:rsidP="007532AB">
                  <w:pPr>
                    <w:spacing w:line="240" w:lineRule="auto"/>
                    <w:rPr>
                      <w:rFonts w:eastAsia="Times New Roman"/>
                      <w:b/>
                      <w:bCs/>
                      <w:sz w:val="20"/>
                    </w:rPr>
                  </w:pPr>
                </w:p>
              </w:tc>
              <w:tc>
                <w:tcPr>
                  <w:tcW w:w="856" w:type="dxa"/>
                  <w:gridSpan w:val="2"/>
                  <w:tcBorders>
                    <w:top w:val="nil"/>
                    <w:left w:val="nil"/>
                    <w:bottom w:val="single" w:sz="4" w:space="0" w:color="auto"/>
                    <w:right w:val="nil"/>
                  </w:tcBorders>
                  <w:shd w:val="clear" w:color="auto" w:fill="auto"/>
                  <w:hideMark/>
                </w:tcPr>
                <w:p w14:paraId="285981CC" w14:textId="77777777" w:rsidR="007532AB" w:rsidRPr="00140032" w:rsidRDefault="007532AB" w:rsidP="007532AB">
                  <w:pPr>
                    <w:spacing w:line="240" w:lineRule="auto"/>
                    <w:rPr>
                      <w:rFonts w:eastAsia="Times New Roman"/>
                      <w:b/>
                      <w:bCs/>
                      <w:sz w:val="20"/>
                    </w:rPr>
                  </w:pPr>
                </w:p>
              </w:tc>
              <w:tc>
                <w:tcPr>
                  <w:tcW w:w="1298" w:type="dxa"/>
                  <w:gridSpan w:val="2"/>
                  <w:tcBorders>
                    <w:top w:val="nil"/>
                    <w:left w:val="nil"/>
                    <w:bottom w:val="single" w:sz="4" w:space="0" w:color="auto"/>
                    <w:right w:val="nil"/>
                  </w:tcBorders>
                  <w:shd w:val="clear" w:color="auto" w:fill="auto"/>
                  <w:hideMark/>
                </w:tcPr>
                <w:p w14:paraId="0CD537B8" w14:textId="77777777" w:rsidR="007532AB" w:rsidRPr="00140032" w:rsidRDefault="007532AB" w:rsidP="007532AB">
                  <w:pPr>
                    <w:spacing w:line="240" w:lineRule="auto"/>
                    <w:jc w:val="right"/>
                    <w:rPr>
                      <w:rFonts w:eastAsia="Times New Roman"/>
                      <w:i/>
                      <w:iCs/>
                      <w:sz w:val="16"/>
                      <w:szCs w:val="16"/>
                    </w:rPr>
                  </w:pPr>
                  <w:r w:rsidRPr="00140032">
                    <w:rPr>
                      <w:rFonts w:eastAsia="Times New Roman"/>
                      <w:i/>
                      <w:iCs/>
                      <w:sz w:val="16"/>
                      <w:szCs w:val="16"/>
                    </w:rPr>
                    <w:t> </w:t>
                  </w:r>
                </w:p>
              </w:tc>
            </w:tr>
          </w:tbl>
          <w:p w14:paraId="6227269A" w14:textId="77777777" w:rsidR="007532AB" w:rsidRPr="004547D4" w:rsidRDefault="007532AB" w:rsidP="007532AB">
            <w:pPr>
              <w:widowControl/>
              <w:autoSpaceDE/>
              <w:autoSpaceDN/>
              <w:adjustRightInd/>
              <w:spacing w:line="240" w:lineRule="auto"/>
              <w:jc w:val="both"/>
              <w:rPr>
                <w:rFonts w:eastAsia="Calibri" w:cs="Times New Roman"/>
                <w:bCs/>
                <w:sz w:val="22"/>
                <w:szCs w:val="22"/>
                <w:lang w:eastAsia="en-US"/>
              </w:rPr>
            </w:pPr>
          </w:p>
          <w:tbl>
            <w:tblPr>
              <w:tblW w:w="7202" w:type="dxa"/>
              <w:tblLayout w:type="fixed"/>
              <w:tblCellMar>
                <w:left w:w="70" w:type="dxa"/>
                <w:right w:w="70" w:type="dxa"/>
              </w:tblCellMar>
              <w:tblLook w:val="04A0" w:firstRow="1" w:lastRow="0" w:firstColumn="1" w:lastColumn="0" w:noHBand="0" w:noVBand="1"/>
            </w:tblPr>
            <w:tblGrid>
              <w:gridCol w:w="343"/>
              <w:gridCol w:w="3454"/>
              <w:gridCol w:w="539"/>
              <w:gridCol w:w="818"/>
              <w:gridCol w:w="798"/>
              <w:gridCol w:w="1250"/>
            </w:tblGrid>
            <w:tr w:rsidR="007532AB" w:rsidRPr="00140032" w14:paraId="21F05AE7" w14:textId="77777777" w:rsidTr="0005536B">
              <w:trPr>
                <w:trHeight w:val="1129"/>
              </w:trPr>
              <w:tc>
                <w:tcPr>
                  <w:tcW w:w="343" w:type="dxa"/>
                  <w:tcBorders>
                    <w:top w:val="nil"/>
                    <w:left w:val="single" w:sz="4" w:space="0" w:color="auto"/>
                    <w:bottom w:val="single" w:sz="4" w:space="0" w:color="auto"/>
                    <w:right w:val="nil"/>
                  </w:tcBorders>
                  <w:shd w:val="clear" w:color="auto" w:fill="auto"/>
                  <w:hideMark/>
                </w:tcPr>
                <w:p w14:paraId="46FA4365" w14:textId="77777777" w:rsidR="007532AB" w:rsidRPr="00140032" w:rsidRDefault="007532AB" w:rsidP="007532AB">
                  <w:pPr>
                    <w:spacing w:line="240" w:lineRule="auto"/>
                    <w:rPr>
                      <w:rFonts w:eastAsia="Times New Roman"/>
                      <w:sz w:val="14"/>
                      <w:szCs w:val="14"/>
                    </w:rPr>
                  </w:pPr>
                </w:p>
              </w:tc>
              <w:tc>
                <w:tcPr>
                  <w:tcW w:w="3454" w:type="dxa"/>
                  <w:tcBorders>
                    <w:top w:val="nil"/>
                    <w:left w:val="nil"/>
                    <w:bottom w:val="single" w:sz="4" w:space="0" w:color="auto"/>
                    <w:right w:val="nil"/>
                  </w:tcBorders>
                  <w:shd w:val="clear" w:color="auto" w:fill="auto"/>
                  <w:hideMark/>
                </w:tcPr>
                <w:p w14:paraId="09F8619F" w14:textId="77777777" w:rsidR="007532AB" w:rsidRPr="00140032" w:rsidRDefault="007532AB" w:rsidP="007532AB">
                  <w:pPr>
                    <w:spacing w:line="240" w:lineRule="auto"/>
                    <w:rPr>
                      <w:rFonts w:eastAsia="Times New Roman"/>
                      <w:sz w:val="14"/>
                      <w:szCs w:val="14"/>
                    </w:rPr>
                  </w:pPr>
                </w:p>
              </w:tc>
              <w:tc>
                <w:tcPr>
                  <w:tcW w:w="539" w:type="dxa"/>
                  <w:tcBorders>
                    <w:top w:val="nil"/>
                    <w:left w:val="nil"/>
                    <w:bottom w:val="single" w:sz="4" w:space="0" w:color="auto"/>
                    <w:right w:val="nil"/>
                  </w:tcBorders>
                  <w:shd w:val="clear" w:color="auto" w:fill="auto"/>
                  <w:textDirection w:val="btLr"/>
                  <w:vAlign w:val="center"/>
                  <w:hideMark/>
                </w:tcPr>
                <w:p w14:paraId="18C5C1C4" w14:textId="1784BF88" w:rsidR="007532AB" w:rsidRPr="00140032" w:rsidRDefault="007532AB" w:rsidP="007532AB">
                  <w:pPr>
                    <w:spacing w:line="240" w:lineRule="auto"/>
                    <w:rPr>
                      <w:rFonts w:eastAsia="Times New Roman"/>
                      <w:sz w:val="14"/>
                      <w:szCs w:val="14"/>
                    </w:rPr>
                  </w:pPr>
                  <w:r>
                    <w:rPr>
                      <w:rFonts w:eastAsia="Times New Roman"/>
                      <w:sz w:val="14"/>
                      <w:szCs w:val="14"/>
                    </w:rPr>
                    <w:t>liczba</w:t>
                  </w:r>
                  <w:r w:rsidRPr="00140032">
                    <w:rPr>
                      <w:rFonts w:eastAsia="Times New Roman"/>
                      <w:sz w:val="14"/>
                      <w:szCs w:val="14"/>
                    </w:rPr>
                    <w:t xml:space="preserve"> </w:t>
                  </w:r>
                </w:p>
                <w:p w14:paraId="75A74E19" w14:textId="7C4E1217" w:rsidR="007532AB" w:rsidRPr="00140032" w:rsidRDefault="007532AB" w:rsidP="007532AB">
                  <w:pPr>
                    <w:spacing w:line="240" w:lineRule="auto"/>
                    <w:rPr>
                      <w:rFonts w:eastAsia="Times New Roman"/>
                      <w:sz w:val="14"/>
                      <w:szCs w:val="14"/>
                    </w:rPr>
                  </w:pPr>
                  <w:r>
                    <w:rPr>
                      <w:rFonts w:eastAsia="Times New Roman"/>
                      <w:sz w:val="14"/>
                      <w:szCs w:val="14"/>
                    </w:rPr>
                    <w:t>czynności</w:t>
                  </w:r>
                </w:p>
              </w:tc>
              <w:tc>
                <w:tcPr>
                  <w:tcW w:w="818" w:type="dxa"/>
                  <w:tcBorders>
                    <w:top w:val="nil"/>
                    <w:left w:val="nil"/>
                    <w:bottom w:val="single" w:sz="4" w:space="0" w:color="auto"/>
                    <w:right w:val="nil"/>
                  </w:tcBorders>
                  <w:shd w:val="clear" w:color="auto" w:fill="auto"/>
                  <w:textDirection w:val="btLr"/>
                  <w:vAlign w:val="center"/>
                  <w:hideMark/>
                </w:tcPr>
                <w:p w14:paraId="2E6C0361" w14:textId="5837EE7A" w:rsidR="007532AB" w:rsidRPr="00140032" w:rsidRDefault="007532AB" w:rsidP="007532AB">
                  <w:pPr>
                    <w:spacing w:line="240" w:lineRule="auto"/>
                    <w:rPr>
                      <w:rFonts w:eastAsia="Times New Roman"/>
                      <w:sz w:val="14"/>
                      <w:szCs w:val="14"/>
                    </w:rPr>
                  </w:pPr>
                  <w:r>
                    <w:rPr>
                      <w:rFonts w:eastAsia="Times New Roman"/>
                      <w:sz w:val="14"/>
                      <w:szCs w:val="14"/>
                    </w:rPr>
                    <w:t>liczba</w:t>
                  </w:r>
                  <w:r w:rsidRPr="00140032">
                    <w:rPr>
                      <w:rFonts w:eastAsia="Times New Roman"/>
                      <w:sz w:val="14"/>
                      <w:szCs w:val="14"/>
                    </w:rPr>
                    <w:t xml:space="preserve"> godzin na </w:t>
                  </w:r>
                </w:p>
                <w:p w14:paraId="00CA621B" w14:textId="77777777" w:rsidR="007532AB" w:rsidRPr="00140032" w:rsidRDefault="007532AB" w:rsidP="007532AB">
                  <w:pPr>
                    <w:spacing w:line="240" w:lineRule="auto"/>
                    <w:rPr>
                      <w:rFonts w:eastAsia="Times New Roman"/>
                      <w:sz w:val="14"/>
                      <w:szCs w:val="14"/>
                    </w:rPr>
                  </w:pPr>
                  <w:r w:rsidRPr="00140032">
                    <w:rPr>
                      <w:rFonts w:eastAsia="Times New Roman"/>
                      <w:sz w:val="14"/>
                      <w:szCs w:val="14"/>
                    </w:rPr>
                    <w:t>jedną czynność</w:t>
                  </w:r>
                </w:p>
              </w:tc>
              <w:tc>
                <w:tcPr>
                  <w:tcW w:w="798" w:type="dxa"/>
                  <w:tcBorders>
                    <w:top w:val="nil"/>
                    <w:left w:val="nil"/>
                    <w:bottom w:val="single" w:sz="4" w:space="0" w:color="auto"/>
                    <w:right w:val="nil"/>
                  </w:tcBorders>
                  <w:shd w:val="clear" w:color="auto" w:fill="auto"/>
                  <w:textDirection w:val="btLr"/>
                  <w:vAlign w:val="center"/>
                  <w:hideMark/>
                </w:tcPr>
                <w:p w14:paraId="6F224C52" w14:textId="16CE8E45" w:rsidR="007532AB" w:rsidRPr="00140032" w:rsidRDefault="007532AB" w:rsidP="007532AB">
                  <w:pPr>
                    <w:spacing w:line="240" w:lineRule="auto"/>
                    <w:rPr>
                      <w:rFonts w:eastAsia="Times New Roman"/>
                      <w:sz w:val="14"/>
                      <w:szCs w:val="14"/>
                    </w:rPr>
                  </w:pPr>
                  <w:r>
                    <w:rPr>
                      <w:rFonts w:eastAsia="Times New Roman"/>
                      <w:sz w:val="14"/>
                      <w:szCs w:val="14"/>
                    </w:rPr>
                    <w:t xml:space="preserve">Liczba </w:t>
                  </w:r>
                  <w:r w:rsidRPr="00140032">
                    <w:rPr>
                      <w:rFonts w:eastAsia="Times New Roman"/>
                      <w:sz w:val="14"/>
                      <w:szCs w:val="14"/>
                    </w:rPr>
                    <w:t>godzin w roku</w:t>
                  </w:r>
                </w:p>
              </w:tc>
              <w:tc>
                <w:tcPr>
                  <w:tcW w:w="1250" w:type="dxa"/>
                  <w:tcBorders>
                    <w:top w:val="nil"/>
                    <w:left w:val="nil"/>
                    <w:bottom w:val="single" w:sz="4" w:space="0" w:color="auto"/>
                    <w:right w:val="nil"/>
                  </w:tcBorders>
                  <w:shd w:val="clear" w:color="auto" w:fill="auto"/>
                  <w:vAlign w:val="center"/>
                  <w:hideMark/>
                </w:tcPr>
                <w:p w14:paraId="789908B7" w14:textId="77777777" w:rsidR="007532AB" w:rsidRPr="00140032" w:rsidRDefault="007532AB" w:rsidP="007532AB">
                  <w:pPr>
                    <w:spacing w:line="240" w:lineRule="auto"/>
                    <w:jc w:val="center"/>
                    <w:rPr>
                      <w:rFonts w:eastAsia="Times New Roman"/>
                      <w:sz w:val="14"/>
                      <w:szCs w:val="14"/>
                    </w:rPr>
                  </w:pPr>
                  <w:r w:rsidRPr="00140032">
                    <w:rPr>
                      <w:rFonts w:eastAsia="Times New Roman"/>
                      <w:sz w:val="14"/>
                      <w:szCs w:val="14"/>
                    </w:rPr>
                    <w:t>Opis</w:t>
                  </w:r>
                </w:p>
              </w:tc>
            </w:tr>
            <w:tr w:rsidR="007532AB" w:rsidRPr="00140032" w14:paraId="2BB8898D" w14:textId="77777777" w:rsidTr="0005536B">
              <w:trPr>
                <w:trHeight w:val="576"/>
              </w:trPr>
              <w:tc>
                <w:tcPr>
                  <w:tcW w:w="343" w:type="dxa"/>
                  <w:tcBorders>
                    <w:top w:val="nil"/>
                    <w:left w:val="single" w:sz="4" w:space="0" w:color="auto"/>
                    <w:bottom w:val="single" w:sz="4" w:space="0" w:color="auto"/>
                    <w:right w:val="nil"/>
                  </w:tcBorders>
                  <w:shd w:val="clear" w:color="auto" w:fill="auto"/>
                  <w:hideMark/>
                </w:tcPr>
                <w:p w14:paraId="1CDC24AA" w14:textId="09C3904B" w:rsidR="007532AB" w:rsidRPr="00140032" w:rsidRDefault="007532AB" w:rsidP="007532AB">
                  <w:pPr>
                    <w:spacing w:line="240" w:lineRule="auto"/>
                    <w:jc w:val="right"/>
                    <w:rPr>
                      <w:rFonts w:eastAsia="Times New Roman"/>
                      <w:sz w:val="14"/>
                      <w:szCs w:val="14"/>
                    </w:rPr>
                  </w:pPr>
                  <w:r w:rsidRPr="00140032">
                    <w:rPr>
                      <w:rFonts w:eastAsia="Times New Roman"/>
                      <w:sz w:val="14"/>
                      <w:szCs w:val="14"/>
                    </w:rPr>
                    <w:t>1</w:t>
                  </w:r>
                  <w:r>
                    <w:rPr>
                      <w:rFonts w:eastAsia="Times New Roman"/>
                      <w:sz w:val="14"/>
                      <w:szCs w:val="14"/>
                    </w:rPr>
                    <w:t>.</w:t>
                  </w:r>
                </w:p>
              </w:tc>
              <w:tc>
                <w:tcPr>
                  <w:tcW w:w="3454" w:type="dxa"/>
                  <w:tcBorders>
                    <w:top w:val="nil"/>
                    <w:left w:val="nil"/>
                    <w:bottom w:val="single" w:sz="4" w:space="0" w:color="auto"/>
                    <w:right w:val="nil"/>
                  </w:tcBorders>
                  <w:shd w:val="clear" w:color="auto" w:fill="auto"/>
                  <w:hideMark/>
                </w:tcPr>
                <w:p w14:paraId="447751F1" w14:textId="67440613" w:rsidR="007532AB" w:rsidRPr="00140032" w:rsidRDefault="007532AB" w:rsidP="007532AB">
                  <w:pPr>
                    <w:spacing w:line="240" w:lineRule="auto"/>
                    <w:rPr>
                      <w:rFonts w:eastAsia="Times New Roman"/>
                      <w:sz w:val="14"/>
                      <w:szCs w:val="14"/>
                    </w:rPr>
                  </w:pPr>
                  <w:r>
                    <w:rPr>
                      <w:rFonts w:eastAsia="Times New Roman"/>
                      <w:sz w:val="14"/>
                      <w:szCs w:val="14"/>
                    </w:rPr>
                    <w:t>Prowadzenie rejestru operatorów systemów BSP, w tym zatwierdzanie w rejestrze operatorów systemów bezzałogowych statków powietrznych profilów pilota BSP</w:t>
                  </w:r>
                </w:p>
              </w:tc>
              <w:tc>
                <w:tcPr>
                  <w:tcW w:w="539" w:type="dxa"/>
                  <w:tcBorders>
                    <w:top w:val="nil"/>
                    <w:left w:val="nil"/>
                    <w:bottom w:val="single" w:sz="4" w:space="0" w:color="auto"/>
                    <w:right w:val="nil"/>
                  </w:tcBorders>
                  <w:shd w:val="clear" w:color="auto" w:fill="auto"/>
                  <w:hideMark/>
                </w:tcPr>
                <w:p w14:paraId="308F6FA1" w14:textId="6789442E" w:rsidR="007532AB" w:rsidRPr="00140032" w:rsidRDefault="007532AB" w:rsidP="007532AB">
                  <w:pPr>
                    <w:spacing w:line="240" w:lineRule="auto"/>
                    <w:jc w:val="right"/>
                    <w:rPr>
                      <w:rFonts w:eastAsia="Times New Roman"/>
                      <w:sz w:val="14"/>
                      <w:szCs w:val="14"/>
                    </w:rPr>
                  </w:pPr>
                  <w:r>
                    <w:rPr>
                      <w:rFonts w:eastAsia="Times New Roman"/>
                      <w:sz w:val="14"/>
                      <w:szCs w:val="14"/>
                    </w:rPr>
                    <w:t>30000</w:t>
                  </w:r>
                </w:p>
              </w:tc>
              <w:tc>
                <w:tcPr>
                  <w:tcW w:w="818" w:type="dxa"/>
                  <w:tcBorders>
                    <w:top w:val="nil"/>
                    <w:left w:val="nil"/>
                    <w:bottom w:val="single" w:sz="4" w:space="0" w:color="auto"/>
                    <w:right w:val="nil"/>
                  </w:tcBorders>
                  <w:shd w:val="clear" w:color="auto" w:fill="auto"/>
                  <w:hideMark/>
                </w:tcPr>
                <w:p w14:paraId="09BA4E9B" w14:textId="700669F5" w:rsidR="007532AB" w:rsidRPr="00140032" w:rsidRDefault="007532AB" w:rsidP="007532AB">
                  <w:pPr>
                    <w:spacing w:line="240" w:lineRule="auto"/>
                    <w:jc w:val="right"/>
                    <w:rPr>
                      <w:rFonts w:eastAsia="Times New Roman"/>
                      <w:sz w:val="14"/>
                      <w:szCs w:val="14"/>
                    </w:rPr>
                  </w:pPr>
                  <w:r>
                    <w:rPr>
                      <w:rFonts w:eastAsia="Times New Roman"/>
                      <w:sz w:val="14"/>
                      <w:szCs w:val="14"/>
                    </w:rPr>
                    <w:t>0,5</w:t>
                  </w:r>
                </w:p>
              </w:tc>
              <w:tc>
                <w:tcPr>
                  <w:tcW w:w="798" w:type="dxa"/>
                  <w:tcBorders>
                    <w:top w:val="nil"/>
                    <w:left w:val="nil"/>
                    <w:bottom w:val="single" w:sz="4" w:space="0" w:color="auto"/>
                    <w:right w:val="nil"/>
                  </w:tcBorders>
                  <w:shd w:val="clear" w:color="auto" w:fill="auto"/>
                  <w:hideMark/>
                </w:tcPr>
                <w:p w14:paraId="4B663EFD" w14:textId="689D1BBA" w:rsidR="007532AB" w:rsidRPr="00140032" w:rsidRDefault="007532AB" w:rsidP="007532AB">
                  <w:pPr>
                    <w:spacing w:line="240" w:lineRule="auto"/>
                    <w:jc w:val="right"/>
                    <w:rPr>
                      <w:rFonts w:eastAsia="Times New Roman"/>
                      <w:sz w:val="14"/>
                      <w:szCs w:val="14"/>
                    </w:rPr>
                  </w:pPr>
                  <w:r>
                    <w:rPr>
                      <w:rFonts w:eastAsia="Times New Roman"/>
                      <w:sz w:val="14"/>
                      <w:szCs w:val="14"/>
                    </w:rPr>
                    <w:t>15000</w:t>
                  </w:r>
                </w:p>
              </w:tc>
              <w:tc>
                <w:tcPr>
                  <w:tcW w:w="1250" w:type="dxa"/>
                  <w:tcBorders>
                    <w:top w:val="nil"/>
                    <w:left w:val="nil"/>
                    <w:bottom w:val="single" w:sz="4" w:space="0" w:color="auto"/>
                    <w:right w:val="nil"/>
                  </w:tcBorders>
                  <w:shd w:val="clear" w:color="auto" w:fill="auto"/>
                  <w:tcMar>
                    <w:left w:w="0" w:type="dxa"/>
                    <w:right w:w="0" w:type="dxa"/>
                  </w:tcMar>
                  <w:hideMark/>
                </w:tcPr>
                <w:p w14:paraId="7787B1AF" w14:textId="514BF3BA" w:rsidR="007532AB" w:rsidRPr="00140032" w:rsidRDefault="007532AB" w:rsidP="007532AB">
                  <w:pPr>
                    <w:spacing w:line="240" w:lineRule="auto"/>
                    <w:rPr>
                      <w:rFonts w:eastAsia="Times New Roman"/>
                      <w:sz w:val="14"/>
                      <w:szCs w:val="14"/>
                    </w:rPr>
                  </w:pPr>
                  <w:r>
                    <w:rPr>
                      <w:rFonts w:eastAsia="Times New Roman"/>
                      <w:sz w:val="14"/>
                      <w:szCs w:val="14"/>
                    </w:rPr>
                    <w:t>O</w:t>
                  </w:r>
                  <w:r w:rsidRPr="00140032">
                    <w:rPr>
                      <w:rFonts w:eastAsia="Times New Roman"/>
                      <w:sz w:val="14"/>
                      <w:szCs w:val="14"/>
                    </w:rPr>
                    <w:t xml:space="preserve">k. </w:t>
                  </w:r>
                  <w:r>
                    <w:rPr>
                      <w:rFonts w:eastAsia="Times New Roman"/>
                      <w:sz w:val="14"/>
                      <w:szCs w:val="14"/>
                    </w:rPr>
                    <w:t>1500</w:t>
                  </w:r>
                  <w:r w:rsidRPr="00140032">
                    <w:rPr>
                      <w:rFonts w:eastAsia="Times New Roman"/>
                      <w:sz w:val="14"/>
                      <w:szCs w:val="14"/>
                    </w:rPr>
                    <w:t xml:space="preserve"> osób podlegających sprawdzeniu</w:t>
                  </w:r>
                  <w:r>
                    <w:rPr>
                      <w:rFonts w:eastAsia="Times New Roman"/>
                      <w:sz w:val="14"/>
                      <w:szCs w:val="14"/>
                    </w:rPr>
                    <w:t xml:space="preserve"> w ciągu 3 miesięcy działania systemu</w:t>
                  </w:r>
                  <w:r w:rsidRPr="00140032">
                    <w:rPr>
                      <w:rFonts w:eastAsia="Times New Roman"/>
                      <w:sz w:val="14"/>
                      <w:szCs w:val="14"/>
                    </w:rPr>
                    <w:t xml:space="preserve"> </w:t>
                  </w:r>
                </w:p>
              </w:tc>
            </w:tr>
            <w:tr w:rsidR="007532AB" w:rsidRPr="00140032" w14:paraId="187165D7" w14:textId="77777777" w:rsidTr="0005536B">
              <w:trPr>
                <w:trHeight w:val="768"/>
              </w:trPr>
              <w:tc>
                <w:tcPr>
                  <w:tcW w:w="343" w:type="dxa"/>
                  <w:tcBorders>
                    <w:top w:val="nil"/>
                    <w:left w:val="single" w:sz="4" w:space="0" w:color="auto"/>
                    <w:bottom w:val="single" w:sz="4" w:space="0" w:color="auto"/>
                    <w:right w:val="nil"/>
                  </w:tcBorders>
                  <w:shd w:val="clear" w:color="auto" w:fill="auto"/>
                  <w:hideMark/>
                </w:tcPr>
                <w:p w14:paraId="6181AD2E" w14:textId="34C34C93" w:rsidR="007532AB" w:rsidRPr="00140032" w:rsidRDefault="007532AB" w:rsidP="007532AB">
                  <w:pPr>
                    <w:spacing w:line="240" w:lineRule="auto"/>
                    <w:jc w:val="right"/>
                    <w:rPr>
                      <w:rFonts w:eastAsia="Times New Roman"/>
                      <w:sz w:val="14"/>
                      <w:szCs w:val="14"/>
                    </w:rPr>
                  </w:pPr>
                  <w:r w:rsidRPr="00140032">
                    <w:rPr>
                      <w:rFonts w:eastAsia="Times New Roman"/>
                      <w:sz w:val="14"/>
                      <w:szCs w:val="14"/>
                    </w:rPr>
                    <w:t>2</w:t>
                  </w:r>
                  <w:r>
                    <w:rPr>
                      <w:rFonts w:eastAsia="Times New Roman"/>
                      <w:sz w:val="14"/>
                      <w:szCs w:val="14"/>
                    </w:rPr>
                    <w:t>.</w:t>
                  </w:r>
                </w:p>
              </w:tc>
              <w:tc>
                <w:tcPr>
                  <w:tcW w:w="3454" w:type="dxa"/>
                  <w:tcBorders>
                    <w:top w:val="nil"/>
                    <w:left w:val="nil"/>
                    <w:bottom w:val="single" w:sz="4" w:space="0" w:color="auto"/>
                    <w:right w:val="nil"/>
                  </w:tcBorders>
                  <w:shd w:val="clear" w:color="auto" w:fill="auto"/>
                  <w:hideMark/>
                </w:tcPr>
                <w:p w14:paraId="46DD9813" w14:textId="1BAD5B4A" w:rsidR="007532AB" w:rsidRPr="00140032" w:rsidRDefault="007532AB" w:rsidP="007532AB">
                  <w:pPr>
                    <w:spacing w:line="240" w:lineRule="auto"/>
                    <w:rPr>
                      <w:rFonts w:eastAsia="Times New Roman"/>
                      <w:sz w:val="14"/>
                      <w:szCs w:val="14"/>
                    </w:rPr>
                  </w:pPr>
                  <w:r>
                    <w:rPr>
                      <w:rFonts w:eastAsia="Times New Roman"/>
                      <w:sz w:val="14"/>
                      <w:szCs w:val="14"/>
                    </w:rPr>
                    <w:t>Rozpatrywanie wniosków o zezwolenie na operację, o którym mowa w art. 12 rozporządzenia 2019/947</w:t>
                  </w:r>
                </w:p>
              </w:tc>
              <w:tc>
                <w:tcPr>
                  <w:tcW w:w="539" w:type="dxa"/>
                  <w:tcBorders>
                    <w:top w:val="nil"/>
                    <w:left w:val="nil"/>
                    <w:bottom w:val="single" w:sz="4" w:space="0" w:color="auto"/>
                    <w:right w:val="nil"/>
                  </w:tcBorders>
                  <w:shd w:val="clear" w:color="auto" w:fill="auto"/>
                  <w:hideMark/>
                </w:tcPr>
                <w:p w14:paraId="3E1FECFD" w14:textId="00BB61B9" w:rsidR="007532AB" w:rsidRPr="00140032" w:rsidRDefault="007532AB" w:rsidP="007532AB">
                  <w:pPr>
                    <w:spacing w:line="240" w:lineRule="auto"/>
                    <w:jc w:val="right"/>
                    <w:rPr>
                      <w:rFonts w:eastAsia="Times New Roman"/>
                      <w:sz w:val="14"/>
                      <w:szCs w:val="14"/>
                    </w:rPr>
                  </w:pPr>
                  <w:r>
                    <w:rPr>
                      <w:rFonts w:eastAsia="Times New Roman"/>
                      <w:sz w:val="14"/>
                      <w:szCs w:val="14"/>
                    </w:rPr>
                    <w:t>150</w:t>
                  </w:r>
                </w:p>
              </w:tc>
              <w:tc>
                <w:tcPr>
                  <w:tcW w:w="818" w:type="dxa"/>
                  <w:tcBorders>
                    <w:top w:val="nil"/>
                    <w:left w:val="nil"/>
                    <w:bottom w:val="single" w:sz="4" w:space="0" w:color="auto"/>
                    <w:right w:val="nil"/>
                  </w:tcBorders>
                  <w:shd w:val="clear" w:color="auto" w:fill="auto"/>
                  <w:hideMark/>
                </w:tcPr>
                <w:p w14:paraId="69D388D0" w14:textId="513FDCDB" w:rsidR="007532AB" w:rsidRPr="00140032" w:rsidRDefault="007532AB" w:rsidP="007532AB">
                  <w:pPr>
                    <w:spacing w:line="240" w:lineRule="auto"/>
                    <w:jc w:val="right"/>
                    <w:rPr>
                      <w:rFonts w:eastAsia="Times New Roman"/>
                      <w:sz w:val="14"/>
                      <w:szCs w:val="14"/>
                    </w:rPr>
                  </w:pPr>
                  <w:r>
                    <w:rPr>
                      <w:rFonts w:eastAsia="Times New Roman"/>
                      <w:sz w:val="14"/>
                      <w:szCs w:val="14"/>
                    </w:rPr>
                    <w:t>16</w:t>
                  </w:r>
                </w:p>
              </w:tc>
              <w:tc>
                <w:tcPr>
                  <w:tcW w:w="798" w:type="dxa"/>
                  <w:tcBorders>
                    <w:top w:val="nil"/>
                    <w:left w:val="nil"/>
                    <w:bottom w:val="single" w:sz="4" w:space="0" w:color="auto"/>
                    <w:right w:val="nil"/>
                  </w:tcBorders>
                  <w:shd w:val="clear" w:color="auto" w:fill="auto"/>
                  <w:hideMark/>
                </w:tcPr>
                <w:p w14:paraId="73348AC5" w14:textId="002CF1A6" w:rsidR="007532AB" w:rsidRPr="00140032" w:rsidRDefault="007532AB" w:rsidP="007532AB">
                  <w:pPr>
                    <w:spacing w:line="240" w:lineRule="auto"/>
                    <w:jc w:val="right"/>
                    <w:rPr>
                      <w:rFonts w:eastAsia="Times New Roman"/>
                      <w:sz w:val="14"/>
                      <w:szCs w:val="14"/>
                    </w:rPr>
                  </w:pPr>
                  <w:r>
                    <w:rPr>
                      <w:rFonts w:eastAsia="Times New Roman"/>
                      <w:sz w:val="14"/>
                      <w:szCs w:val="14"/>
                    </w:rPr>
                    <w:t>2400</w:t>
                  </w:r>
                </w:p>
              </w:tc>
              <w:tc>
                <w:tcPr>
                  <w:tcW w:w="1250" w:type="dxa"/>
                  <w:tcBorders>
                    <w:top w:val="nil"/>
                    <w:left w:val="nil"/>
                    <w:bottom w:val="single" w:sz="4" w:space="0" w:color="auto"/>
                    <w:right w:val="nil"/>
                  </w:tcBorders>
                  <w:shd w:val="clear" w:color="auto" w:fill="auto"/>
                  <w:tcMar>
                    <w:left w:w="0" w:type="dxa"/>
                    <w:right w:w="0" w:type="dxa"/>
                  </w:tcMar>
                  <w:hideMark/>
                </w:tcPr>
                <w:p w14:paraId="7D6EA308" w14:textId="21CDE0C5" w:rsidR="007532AB" w:rsidRPr="00140032" w:rsidRDefault="007532AB" w:rsidP="007532AB">
                  <w:pPr>
                    <w:spacing w:line="240" w:lineRule="auto"/>
                    <w:rPr>
                      <w:rFonts w:eastAsia="Times New Roman"/>
                      <w:sz w:val="14"/>
                      <w:szCs w:val="14"/>
                    </w:rPr>
                  </w:pPr>
                  <w:r>
                    <w:rPr>
                      <w:rFonts w:eastAsia="Times New Roman"/>
                      <w:sz w:val="14"/>
                      <w:szCs w:val="14"/>
                    </w:rPr>
                    <w:t>O</w:t>
                  </w:r>
                  <w:r w:rsidRPr="00140032">
                    <w:rPr>
                      <w:rFonts w:eastAsia="Times New Roman"/>
                      <w:sz w:val="14"/>
                      <w:szCs w:val="14"/>
                    </w:rPr>
                    <w:t xml:space="preserve">k. </w:t>
                  </w:r>
                  <w:r>
                    <w:rPr>
                      <w:rFonts w:eastAsia="Times New Roman"/>
                      <w:sz w:val="14"/>
                      <w:szCs w:val="14"/>
                    </w:rPr>
                    <w:t>150</w:t>
                  </w:r>
                  <w:r w:rsidRPr="00140032">
                    <w:rPr>
                      <w:rFonts w:eastAsia="Times New Roman"/>
                      <w:sz w:val="14"/>
                      <w:szCs w:val="14"/>
                    </w:rPr>
                    <w:t xml:space="preserve"> </w:t>
                  </w:r>
                  <w:r>
                    <w:rPr>
                      <w:rFonts w:eastAsia="Times New Roman"/>
                      <w:sz w:val="14"/>
                      <w:szCs w:val="14"/>
                    </w:rPr>
                    <w:t>wniosków, co do których będzie przeprowadzone sprawdzenie wniosku i analiza</w:t>
                  </w:r>
                </w:p>
              </w:tc>
            </w:tr>
            <w:tr w:rsidR="007532AB" w:rsidRPr="00140032" w14:paraId="04767460" w14:textId="77777777" w:rsidTr="0005536B">
              <w:trPr>
                <w:trHeight w:val="768"/>
              </w:trPr>
              <w:tc>
                <w:tcPr>
                  <w:tcW w:w="343" w:type="dxa"/>
                  <w:tcBorders>
                    <w:top w:val="nil"/>
                    <w:left w:val="single" w:sz="4" w:space="0" w:color="auto"/>
                    <w:bottom w:val="single" w:sz="4" w:space="0" w:color="auto"/>
                    <w:right w:val="nil"/>
                  </w:tcBorders>
                  <w:shd w:val="clear" w:color="auto" w:fill="auto"/>
                </w:tcPr>
                <w:p w14:paraId="7B524B53" w14:textId="3FA70F2B" w:rsidR="007532AB" w:rsidRPr="00140032" w:rsidRDefault="007532AB" w:rsidP="007532AB">
                  <w:pPr>
                    <w:spacing w:line="240" w:lineRule="auto"/>
                    <w:jc w:val="right"/>
                    <w:rPr>
                      <w:rFonts w:eastAsia="Times New Roman"/>
                      <w:sz w:val="14"/>
                      <w:szCs w:val="14"/>
                    </w:rPr>
                  </w:pPr>
                  <w:r>
                    <w:rPr>
                      <w:rFonts w:eastAsia="Times New Roman"/>
                      <w:sz w:val="14"/>
                      <w:szCs w:val="14"/>
                    </w:rPr>
                    <w:t>3.</w:t>
                  </w:r>
                </w:p>
              </w:tc>
              <w:tc>
                <w:tcPr>
                  <w:tcW w:w="3454" w:type="dxa"/>
                  <w:tcBorders>
                    <w:top w:val="nil"/>
                    <w:left w:val="nil"/>
                    <w:bottom w:val="single" w:sz="4" w:space="0" w:color="auto"/>
                    <w:right w:val="nil"/>
                  </w:tcBorders>
                  <w:shd w:val="clear" w:color="auto" w:fill="auto"/>
                </w:tcPr>
                <w:p w14:paraId="1F20BBA5" w14:textId="743CDE79" w:rsidR="007532AB" w:rsidRDefault="007532AB" w:rsidP="007532AB">
                  <w:pPr>
                    <w:spacing w:line="240" w:lineRule="auto"/>
                    <w:rPr>
                      <w:rFonts w:eastAsia="Times New Roman"/>
                      <w:sz w:val="14"/>
                      <w:szCs w:val="14"/>
                    </w:rPr>
                  </w:pPr>
                  <w:r w:rsidRPr="00C31534">
                    <w:rPr>
                      <w:rFonts w:eastAsia="Times New Roman"/>
                      <w:sz w:val="14"/>
                      <w:szCs w:val="14"/>
                    </w:rPr>
                    <w:t xml:space="preserve">Rozpatrywanie wniosków o </w:t>
                  </w:r>
                  <w:r>
                    <w:rPr>
                      <w:rFonts w:eastAsia="Times New Roman"/>
                      <w:sz w:val="14"/>
                      <w:szCs w:val="14"/>
                    </w:rPr>
                    <w:t>certyfikat LUC</w:t>
                  </w:r>
                </w:p>
              </w:tc>
              <w:tc>
                <w:tcPr>
                  <w:tcW w:w="539" w:type="dxa"/>
                  <w:tcBorders>
                    <w:top w:val="nil"/>
                    <w:left w:val="nil"/>
                    <w:bottom w:val="single" w:sz="4" w:space="0" w:color="auto"/>
                    <w:right w:val="nil"/>
                  </w:tcBorders>
                  <w:shd w:val="clear" w:color="auto" w:fill="auto"/>
                </w:tcPr>
                <w:p w14:paraId="45CB7299" w14:textId="0EE9E455" w:rsidR="007532AB" w:rsidRDefault="007532AB" w:rsidP="007532AB">
                  <w:pPr>
                    <w:spacing w:line="240" w:lineRule="auto"/>
                    <w:jc w:val="right"/>
                    <w:rPr>
                      <w:rFonts w:eastAsia="Times New Roman"/>
                      <w:sz w:val="14"/>
                      <w:szCs w:val="14"/>
                    </w:rPr>
                  </w:pPr>
                  <w:r>
                    <w:rPr>
                      <w:rFonts w:eastAsia="Times New Roman"/>
                      <w:sz w:val="14"/>
                      <w:szCs w:val="14"/>
                    </w:rPr>
                    <w:t>10</w:t>
                  </w:r>
                </w:p>
              </w:tc>
              <w:tc>
                <w:tcPr>
                  <w:tcW w:w="818" w:type="dxa"/>
                  <w:tcBorders>
                    <w:top w:val="nil"/>
                    <w:left w:val="nil"/>
                    <w:bottom w:val="single" w:sz="4" w:space="0" w:color="auto"/>
                    <w:right w:val="nil"/>
                  </w:tcBorders>
                  <w:shd w:val="clear" w:color="auto" w:fill="auto"/>
                </w:tcPr>
                <w:p w14:paraId="28F82044" w14:textId="201DCC73" w:rsidR="007532AB" w:rsidRDefault="007532AB" w:rsidP="007532AB">
                  <w:pPr>
                    <w:spacing w:line="240" w:lineRule="auto"/>
                    <w:jc w:val="right"/>
                    <w:rPr>
                      <w:rFonts w:eastAsia="Times New Roman"/>
                      <w:sz w:val="14"/>
                      <w:szCs w:val="14"/>
                    </w:rPr>
                  </w:pPr>
                  <w:r>
                    <w:rPr>
                      <w:rFonts w:eastAsia="Times New Roman"/>
                      <w:sz w:val="14"/>
                      <w:szCs w:val="14"/>
                    </w:rPr>
                    <w:t>15</w:t>
                  </w:r>
                </w:p>
              </w:tc>
              <w:tc>
                <w:tcPr>
                  <w:tcW w:w="798" w:type="dxa"/>
                  <w:tcBorders>
                    <w:top w:val="nil"/>
                    <w:left w:val="nil"/>
                    <w:bottom w:val="single" w:sz="4" w:space="0" w:color="auto"/>
                    <w:right w:val="nil"/>
                  </w:tcBorders>
                  <w:shd w:val="clear" w:color="auto" w:fill="auto"/>
                </w:tcPr>
                <w:p w14:paraId="51FA8B85" w14:textId="4DC4C7ED" w:rsidR="007532AB" w:rsidRDefault="007532AB" w:rsidP="007532AB">
                  <w:pPr>
                    <w:spacing w:line="240" w:lineRule="auto"/>
                    <w:jc w:val="right"/>
                    <w:rPr>
                      <w:rFonts w:eastAsia="Times New Roman"/>
                      <w:sz w:val="14"/>
                      <w:szCs w:val="14"/>
                    </w:rPr>
                  </w:pPr>
                  <w:r>
                    <w:rPr>
                      <w:rFonts w:eastAsia="Times New Roman"/>
                      <w:sz w:val="14"/>
                      <w:szCs w:val="14"/>
                    </w:rPr>
                    <w:t>150</w:t>
                  </w:r>
                </w:p>
              </w:tc>
              <w:tc>
                <w:tcPr>
                  <w:tcW w:w="1250" w:type="dxa"/>
                  <w:tcBorders>
                    <w:top w:val="nil"/>
                    <w:left w:val="nil"/>
                    <w:bottom w:val="single" w:sz="4" w:space="0" w:color="auto"/>
                    <w:right w:val="nil"/>
                  </w:tcBorders>
                  <w:shd w:val="clear" w:color="auto" w:fill="auto"/>
                  <w:tcMar>
                    <w:left w:w="0" w:type="dxa"/>
                    <w:right w:w="0" w:type="dxa"/>
                  </w:tcMar>
                </w:tcPr>
                <w:p w14:paraId="6262D446" w14:textId="77777777" w:rsidR="007532AB" w:rsidRPr="00140032" w:rsidRDefault="007532AB" w:rsidP="007532AB">
                  <w:pPr>
                    <w:spacing w:line="240" w:lineRule="auto"/>
                    <w:rPr>
                      <w:rFonts w:eastAsia="Times New Roman"/>
                      <w:sz w:val="14"/>
                      <w:szCs w:val="14"/>
                    </w:rPr>
                  </w:pPr>
                </w:p>
              </w:tc>
            </w:tr>
            <w:tr w:rsidR="007532AB" w:rsidRPr="00140032" w14:paraId="76B606A4" w14:textId="77777777" w:rsidTr="0005536B">
              <w:trPr>
                <w:trHeight w:val="384"/>
              </w:trPr>
              <w:tc>
                <w:tcPr>
                  <w:tcW w:w="343" w:type="dxa"/>
                  <w:tcBorders>
                    <w:top w:val="nil"/>
                    <w:left w:val="single" w:sz="4" w:space="0" w:color="auto"/>
                    <w:bottom w:val="single" w:sz="4" w:space="0" w:color="auto"/>
                    <w:right w:val="nil"/>
                  </w:tcBorders>
                  <w:shd w:val="clear" w:color="auto" w:fill="auto"/>
                  <w:hideMark/>
                </w:tcPr>
                <w:p w14:paraId="515CAD5D" w14:textId="3D66347D" w:rsidR="007532AB" w:rsidRPr="00140032" w:rsidRDefault="007532AB" w:rsidP="007532AB">
                  <w:pPr>
                    <w:spacing w:line="240" w:lineRule="auto"/>
                    <w:jc w:val="right"/>
                    <w:rPr>
                      <w:rFonts w:eastAsia="Times New Roman"/>
                      <w:sz w:val="14"/>
                      <w:szCs w:val="14"/>
                    </w:rPr>
                  </w:pPr>
                  <w:r>
                    <w:rPr>
                      <w:rFonts w:eastAsia="Times New Roman"/>
                      <w:sz w:val="14"/>
                      <w:szCs w:val="14"/>
                    </w:rPr>
                    <w:t>4.</w:t>
                  </w:r>
                </w:p>
              </w:tc>
              <w:tc>
                <w:tcPr>
                  <w:tcW w:w="3454" w:type="dxa"/>
                  <w:tcBorders>
                    <w:top w:val="nil"/>
                    <w:left w:val="nil"/>
                    <w:bottom w:val="single" w:sz="4" w:space="0" w:color="auto"/>
                    <w:right w:val="nil"/>
                  </w:tcBorders>
                  <w:shd w:val="clear" w:color="auto" w:fill="auto"/>
                  <w:hideMark/>
                </w:tcPr>
                <w:p w14:paraId="6B73B4D4" w14:textId="16C32FE8" w:rsidR="007532AB" w:rsidRPr="00140032" w:rsidRDefault="007532AB" w:rsidP="007532AB">
                  <w:pPr>
                    <w:spacing w:line="240" w:lineRule="auto"/>
                    <w:rPr>
                      <w:rFonts w:eastAsia="Times New Roman"/>
                      <w:sz w:val="14"/>
                      <w:szCs w:val="14"/>
                    </w:rPr>
                  </w:pPr>
                  <w:r>
                    <w:rPr>
                      <w:rFonts w:eastAsia="Times New Roman"/>
                      <w:sz w:val="14"/>
                      <w:szCs w:val="14"/>
                    </w:rPr>
                    <w:t>Przyjmowanie i analiza oraz potwierdzanie odbioru i kompletności oświadczeń dot. operacji w kategorii szczególnej wykonywanych w oparciu o krajowe lub unijne scenariusze standardowe</w:t>
                  </w:r>
                </w:p>
              </w:tc>
              <w:tc>
                <w:tcPr>
                  <w:tcW w:w="539" w:type="dxa"/>
                  <w:tcBorders>
                    <w:top w:val="nil"/>
                    <w:left w:val="nil"/>
                    <w:bottom w:val="single" w:sz="4" w:space="0" w:color="auto"/>
                    <w:right w:val="nil"/>
                  </w:tcBorders>
                  <w:shd w:val="clear" w:color="auto" w:fill="auto"/>
                  <w:hideMark/>
                </w:tcPr>
                <w:p w14:paraId="50ED265F" w14:textId="42A8B972" w:rsidR="007532AB" w:rsidRPr="00140032" w:rsidRDefault="007532AB" w:rsidP="007532AB">
                  <w:pPr>
                    <w:spacing w:line="240" w:lineRule="auto"/>
                    <w:jc w:val="right"/>
                    <w:rPr>
                      <w:rFonts w:eastAsia="Times New Roman"/>
                      <w:sz w:val="14"/>
                      <w:szCs w:val="14"/>
                    </w:rPr>
                  </w:pPr>
                  <w:r>
                    <w:rPr>
                      <w:rFonts w:eastAsia="Times New Roman"/>
                      <w:sz w:val="14"/>
                      <w:szCs w:val="14"/>
                    </w:rPr>
                    <w:t>4000</w:t>
                  </w:r>
                </w:p>
              </w:tc>
              <w:tc>
                <w:tcPr>
                  <w:tcW w:w="818" w:type="dxa"/>
                  <w:tcBorders>
                    <w:top w:val="nil"/>
                    <w:left w:val="nil"/>
                    <w:bottom w:val="single" w:sz="4" w:space="0" w:color="auto"/>
                    <w:right w:val="nil"/>
                  </w:tcBorders>
                  <w:shd w:val="clear" w:color="auto" w:fill="auto"/>
                  <w:hideMark/>
                </w:tcPr>
                <w:p w14:paraId="34E5E002" w14:textId="3A35DEE2" w:rsidR="007532AB" w:rsidRPr="00140032" w:rsidRDefault="007532AB" w:rsidP="007532AB">
                  <w:pPr>
                    <w:spacing w:line="240" w:lineRule="auto"/>
                    <w:jc w:val="right"/>
                    <w:rPr>
                      <w:rFonts w:eastAsia="Times New Roman"/>
                      <w:sz w:val="14"/>
                      <w:szCs w:val="14"/>
                    </w:rPr>
                  </w:pPr>
                  <w:r>
                    <w:rPr>
                      <w:rFonts w:eastAsia="Times New Roman"/>
                      <w:sz w:val="14"/>
                      <w:szCs w:val="14"/>
                    </w:rPr>
                    <w:t>0,25</w:t>
                  </w:r>
                </w:p>
              </w:tc>
              <w:tc>
                <w:tcPr>
                  <w:tcW w:w="798" w:type="dxa"/>
                  <w:tcBorders>
                    <w:top w:val="nil"/>
                    <w:left w:val="nil"/>
                    <w:bottom w:val="single" w:sz="4" w:space="0" w:color="auto"/>
                    <w:right w:val="nil"/>
                  </w:tcBorders>
                  <w:shd w:val="clear" w:color="auto" w:fill="auto"/>
                  <w:hideMark/>
                </w:tcPr>
                <w:p w14:paraId="71CF69DE" w14:textId="3DF4CAC7" w:rsidR="007532AB" w:rsidRPr="00140032" w:rsidRDefault="007532AB" w:rsidP="007532AB">
                  <w:pPr>
                    <w:spacing w:line="240" w:lineRule="auto"/>
                    <w:jc w:val="right"/>
                    <w:rPr>
                      <w:rFonts w:eastAsia="Times New Roman"/>
                      <w:sz w:val="14"/>
                      <w:szCs w:val="14"/>
                    </w:rPr>
                  </w:pPr>
                  <w:r>
                    <w:rPr>
                      <w:rFonts w:eastAsia="Times New Roman"/>
                      <w:sz w:val="14"/>
                      <w:szCs w:val="14"/>
                    </w:rPr>
                    <w:t>1000</w:t>
                  </w:r>
                </w:p>
              </w:tc>
              <w:tc>
                <w:tcPr>
                  <w:tcW w:w="1250" w:type="dxa"/>
                  <w:tcBorders>
                    <w:top w:val="nil"/>
                    <w:left w:val="nil"/>
                    <w:bottom w:val="single" w:sz="4" w:space="0" w:color="auto"/>
                    <w:right w:val="nil"/>
                  </w:tcBorders>
                  <w:shd w:val="clear" w:color="auto" w:fill="auto"/>
                  <w:tcMar>
                    <w:left w:w="0" w:type="dxa"/>
                    <w:right w:w="0" w:type="dxa"/>
                  </w:tcMar>
                  <w:hideMark/>
                </w:tcPr>
                <w:p w14:paraId="27F4D5AD" w14:textId="0D479C88" w:rsidR="007532AB" w:rsidRPr="0005536B" w:rsidRDefault="007532AB" w:rsidP="007532AB">
                  <w:pPr>
                    <w:spacing w:line="240" w:lineRule="auto"/>
                    <w:rPr>
                      <w:rFonts w:eastAsia="Times New Roman"/>
                      <w:sz w:val="14"/>
                      <w:szCs w:val="14"/>
                    </w:rPr>
                  </w:pPr>
                  <w:r>
                    <w:rPr>
                      <w:rFonts w:eastAsia="Times New Roman"/>
                      <w:sz w:val="14"/>
                      <w:szCs w:val="14"/>
                    </w:rPr>
                    <w:t>O</w:t>
                  </w:r>
                  <w:r w:rsidRPr="0005536B">
                    <w:rPr>
                      <w:rFonts w:eastAsia="Times New Roman"/>
                      <w:sz w:val="14"/>
                      <w:szCs w:val="14"/>
                    </w:rPr>
                    <w:t>k. 4000 wniosków co do których będzie przeprowadzone sprawdzenie wniosku i analiza</w:t>
                  </w:r>
                </w:p>
              </w:tc>
            </w:tr>
            <w:tr w:rsidR="007532AB" w:rsidRPr="00140032" w14:paraId="77A5DA36" w14:textId="77777777" w:rsidTr="0005536B">
              <w:trPr>
                <w:trHeight w:val="384"/>
              </w:trPr>
              <w:tc>
                <w:tcPr>
                  <w:tcW w:w="343" w:type="dxa"/>
                  <w:tcBorders>
                    <w:top w:val="nil"/>
                    <w:left w:val="single" w:sz="4" w:space="0" w:color="auto"/>
                    <w:bottom w:val="single" w:sz="4" w:space="0" w:color="auto"/>
                    <w:right w:val="nil"/>
                  </w:tcBorders>
                  <w:shd w:val="clear" w:color="auto" w:fill="auto"/>
                </w:tcPr>
                <w:p w14:paraId="4799519C" w14:textId="2D57853B" w:rsidR="007532AB" w:rsidRPr="00140032" w:rsidRDefault="007532AB" w:rsidP="007532AB">
                  <w:pPr>
                    <w:spacing w:line="240" w:lineRule="auto"/>
                    <w:jc w:val="right"/>
                    <w:rPr>
                      <w:rFonts w:eastAsia="Times New Roman"/>
                      <w:sz w:val="14"/>
                      <w:szCs w:val="14"/>
                    </w:rPr>
                  </w:pPr>
                  <w:r>
                    <w:rPr>
                      <w:rFonts w:eastAsia="Times New Roman"/>
                      <w:sz w:val="14"/>
                      <w:szCs w:val="14"/>
                    </w:rPr>
                    <w:t>5.</w:t>
                  </w:r>
                </w:p>
              </w:tc>
              <w:tc>
                <w:tcPr>
                  <w:tcW w:w="3454" w:type="dxa"/>
                  <w:tcBorders>
                    <w:top w:val="nil"/>
                    <w:left w:val="nil"/>
                    <w:bottom w:val="single" w:sz="4" w:space="0" w:color="auto"/>
                    <w:right w:val="nil"/>
                  </w:tcBorders>
                  <w:shd w:val="clear" w:color="auto" w:fill="auto"/>
                </w:tcPr>
                <w:p w14:paraId="5FDCBA17" w14:textId="56AEA52C" w:rsidR="007532AB" w:rsidRDefault="007532AB" w:rsidP="007532AB">
                  <w:pPr>
                    <w:spacing w:line="240" w:lineRule="auto"/>
                    <w:rPr>
                      <w:rFonts w:eastAsia="Times New Roman"/>
                      <w:sz w:val="14"/>
                      <w:szCs w:val="14"/>
                    </w:rPr>
                  </w:pPr>
                  <w:r>
                    <w:rPr>
                      <w:rFonts w:eastAsia="Times New Roman"/>
                      <w:sz w:val="14"/>
                      <w:szCs w:val="14"/>
                    </w:rPr>
                    <w:t>Przyjmowanie i analiza oraz wydawanie decyzji adm. dot. wyznaczonych podmiotów</w:t>
                  </w:r>
                </w:p>
              </w:tc>
              <w:tc>
                <w:tcPr>
                  <w:tcW w:w="539" w:type="dxa"/>
                  <w:tcBorders>
                    <w:top w:val="nil"/>
                    <w:left w:val="nil"/>
                    <w:bottom w:val="single" w:sz="4" w:space="0" w:color="auto"/>
                    <w:right w:val="nil"/>
                  </w:tcBorders>
                  <w:shd w:val="clear" w:color="auto" w:fill="auto"/>
                </w:tcPr>
                <w:p w14:paraId="31DBFE31" w14:textId="6D07E59E" w:rsidR="007532AB" w:rsidRDefault="007532AB" w:rsidP="007532AB">
                  <w:pPr>
                    <w:spacing w:line="240" w:lineRule="auto"/>
                    <w:jc w:val="right"/>
                    <w:rPr>
                      <w:rFonts w:eastAsia="Times New Roman"/>
                      <w:sz w:val="14"/>
                      <w:szCs w:val="14"/>
                    </w:rPr>
                  </w:pPr>
                  <w:r>
                    <w:rPr>
                      <w:rFonts w:eastAsia="Times New Roman"/>
                      <w:sz w:val="14"/>
                      <w:szCs w:val="14"/>
                    </w:rPr>
                    <w:t>150</w:t>
                  </w:r>
                </w:p>
              </w:tc>
              <w:tc>
                <w:tcPr>
                  <w:tcW w:w="818" w:type="dxa"/>
                  <w:tcBorders>
                    <w:top w:val="nil"/>
                    <w:left w:val="nil"/>
                    <w:bottom w:val="single" w:sz="4" w:space="0" w:color="auto"/>
                    <w:right w:val="nil"/>
                  </w:tcBorders>
                  <w:shd w:val="clear" w:color="auto" w:fill="auto"/>
                </w:tcPr>
                <w:p w14:paraId="5FB35E9D" w14:textId="01CE89A9" w:rsidR="007532AB" w:rsidRDefault="007532AB" w:rsidP="007532AB">
                  <w:pPr>
                    <w:spacing w:line="240" w:lineRule="auto"/>
                    <w:jc w:val="right"/>
                    <w:rPr>
                      <w:rFonts w:eastAsia="Times New Roman"/>
                      <w:sz w:val="14"/>
                      <w:szCs w:val="14"/>
                    </w:rPr>
                  </w:pPr>
                  <w:r>
                    <w:rPr>
                      <w:rFonts w:eastAsia="Times New Roman"/>
                      <w:sz w:val="14"/>
                      <w:szCs w:val="14"/>
                    </w:rPr>
                    <w:t>2</w:t>
                  </w:r>
                </w:p>
              </w:tc>
              <w:tc>
                <w:tcPr>
                  <w:tcW w:w="798" w:type="dxa"/>
                  <w:tcBorders>
                    <w:top w:val="nil"/>
                    <w:left w:val="nil"/>
                    <w:bottom w:val="single" w:sz="4" w:space="0" w:color="auto"/>
                    <w:right w:val="nil"/>
                  </w:tcBorders>
                  <w:shd w:val="clear" w:color="auto" w:fill="auto"/>
                </w:tcPr>
                <w:p w14:paraId="7F418B71" w14:textId="07CCA88A" w:rsidR="007532AB" w:rsidRDefault="007532AB" w:rsidP="007532AB">
                  <w:pPr>
                    <w:spacing w:line="240" w:lineRule="auto"/>
                    <w:jc w:val="right"/>
                    <w:rPr>
                      <w:rFonts w:eastAsia="Times New Roman"/>
                      <w:sz w:val="14"/>
                      <w:szCs w:val="14"/>
                    </w:rPr>
                  </w:pPr>
                  <w:r>
                    <w:rPr>
                      <w:rFonts w:eastAsia="Times New Roman"/>
                      <w:sz w:val="14"/>
                      <w:szCs w:val="14"/>
                    </w:rPr>
                    <w:t>300</w:t>
                  </w:r>
                </w:p>
              </w:tc>
              <w:tc>
                <w:tcPr>
                  <w:tcW w:w="1250" w:type="dxa"/>
                  <w:tcBorders>
                    <w:top w:val="nil"/>
                    <w:left w:val="nil"/>
                    <w:bottom w:val="single" w:sz="4" w:space="0" w:color="auto"/>
                    <w:right w:val="nil"/>
                  </w:tcBorders>
                  <w:shd w:val="clear" w:color="auto" w:fill="auto"/>
                  <w:tcMar>
                    <w:left w:w="0" w:type="dxa"/>
                    <w:right w:w="0" w:type="dxa"/>
                  </w:tcMar>
                </w:tcPr>
                <w:p w14:paraId="68C20E27" w14:textId="595AD9DB" w:rsidR="007532AB" w:rsidRPr="0005536B" w:rsidRDefault="007532AB" w:rsidP="007532AB">
                  <w:pPr>
                    <w:spacing w:line="240" w:lineRule="auto"/>
                    <w:rPr>
                      <w:rFonts w:eastAsia="Times New Roman"/>
                      <w:sz w:val="14"/>
                      <w:szCs w:val="14"/>
                    </w:rPr>
                  </w:pPr>
                  <w:r w:rsidRPr="0005536B">
                    <w:rPr>
                      <w:rFonts w:eastAsia="Times New Roman"/>
                      <w:sz w:val="14"/>
                      <w:szCs w:val="14"/>
                    </w:rPr>
                    <w:t>Ok. 150 organizacji szkolących w zakresie BSP jest obecnie w rejestrze podmiotów szkolących</w:t>
                  </w:r>
                </w:p>
              </w:tc>
            </w:tr>
            <w:tr w:rsidR="007532AB" w:rsidRPr="00140032" w14:paraId="058B97EC" w14:textId="77777777" w:rsidTr="0005536B">
              <w:trPr>
                <w:trHeight w:val="445"/>
              </w:trPr>
              <w:tc>
                <w:tcPr>
                  <w:tcW w:w="343" w:type="dxa"/>
                  <w:tcBorders>
                    <w:top w:val="nil"/>
                    <w:left w:val="single" w:sz="4" w:space="0" w:color="auto"/>
                    <w:bottom w:val="single" w:sz="4" w:space="0" w:color="auto"/>
                    <w:right w:val="nil"/>
                  </w:tcBorders>
                  <w:shd w:val="clear" w:color="auto" w:fill="auto"/>
                </w:tcPr>
                <w:p w14:paraId="2C39F8E4" w14:textId="593A1A88" w:rsidR="007532AB" w:rsidRPr="00140032" w:rsidRDefault="007532AB" w:rsidP="007532AB">
                  <w:pPr>
                    <w:spacing w:line="240" w:lineRule="auto"/>
                    <w:jc w:val="right"/>
                    <w:rPr>
                      <w:rFonts w:eastAsia="Times New Roman"/>
                      <w:sz w:val="14"/>
                      <w:szCs w:val="14"/>
                    </w:rPr>
                  </w:pPr>
                  <w:r>
                    <w:rPr>
                      <w:rFonts w:eastAsia="Times New Roman"/>
                      <w:sz w:val="14"/>
                      <w:szCs w:val="14"/>
                    </w:rPr>
                    <w:t>6.</w:t>
                  </w:r>
                </w:p>
              </w:tc>
              <w:tc>
                <w:tcPr>
                  <w:tcW w:w="3454" w:type="dxa"/>
                  <w:tcBorders>
                    <w:top w:val="nil"/>
                    <w:left w:val="nil"/>
                    <w:bottom w:val="single" w:sz="4" w:space="0" w:color="auto"/>
                    <w:right w:val="nil"/>
                  </w:tcBorders>
                  <w:shd w:val="clear" w:color="auto" w:fill="auto"/>
                </w:tcPr>
                <w:p w14:paraId="470E0148" w14:textId="2F68E54D" w:rsidR="007532AB" w:rsidRPr="00140032" w:rsidRDefault="007532AB" w:rsidP="007532AB">
                  <w:pPr>
                    <w:spacing w:line="240" w:lineRule="auto"/>
                    <w:rPr>
                      <w:rFonts w:eastAsia="Times New Roman"/>
                      <w:sz w:val="14"/>
                      <w:szCs w:val="14"/>
                    </w:rPr>
                  </w:pPr>
                  <w:r>
                    <w:rPr>
                      <w:rFonts w:eastAsia="Times New Roman"/>
                      <w:sz w:val="14"/>
                      <w:szCs w:val="14"/>
                    </w:rPr>
                    <w:t xml:space="preserve">Przygotowywanie materiałów promujących bezpieczeństwo lotnictwa bezzałogowego (seminaria, szkolenia dla służb, jednostek samorządu terytorialnego) oraz telefoniczne i mailowe udzielania odpowiedzi na zapytania </w:t>
                  </w:r>
                </w:p>
              </w:tc>
              <w:tc>
                <w:tcPr>
                  <w:tcW w:w="539" w:type="dxa"/>
                  <w:tcBorders>
                    <w:top w:val="nil"/>
                    <w:left w:val="nil"/>
                    <w:bottom w:val="single" w:sz="4" w:space="0" w:color="auto"/>
                    <w:right w:val="nil"/>
                  </w:tcBorders>
                  <w:shd w:val="clear" w:color="auto" w:fill="auto"/>
                </w:tcPr>
                <w:p w14:paraId="7F53FD0F" w14:textId="0092698B" w:rsidR="007532AB" w:rsidRDefault="007532AB" w:rsidP="007532AB">
                  <w:pPr>
                    <w:spacing w:line="240" w:lineRule="auto"/>
                    <w:jc w:val="right"/>
                    <w:rPr>
                      <w:rFonts w:eastAsia="Times New Roman"/>
                      <w:sz w:val="14"/>
                      <w:szCs w:val="14"/>
                    </w:rPr>
                  </w:pPr>
                  <w:r>
                    <w:rPr>
                      <w:rFonts w:eastAsia="Times New Roman"/>
                      <w:sz w:val="14"/>
                      <w:szCs w:val="14"/>
                    </w:rPr>
                    <w:t>2000</w:t>
                  </w:r>
                </w:p>
              </w:tc>
              <w:tc>
                <w:tcPr>
                  <w:tcW w:w="818" w:type="dxa"/>
                  <w:tcBorders>
                    <w:top w:val="nil"/>
                    <w:left w:val="nil"/>
                    <w:bottom w:val="single" w:sz="4" w:space="0" w:color="auto"/>
                    <w:right w:val="nil"/>
                  </w:tcBorders>
                  <w:shd w:val="clear" w:color="auto" w:fill="auto"/>
                </w:tcPr>
                <w:p w14:paraId="54201F22" w14:textId="4929F3A6" w:rsidR="007532AB" w:rsidRDefault="007532AB" w:rsidP="007532AB">
                  <w:pPr>
                    <w:spacing w:line="240" w:lineRule="auto"/>
                    <w:jc w:val="right"/>
                    <w:rPr>
                      <w:rFonts w:eastAsia="Times New Roman"/>
                      <w:sz w:val="14"/>
                      <w:szCs w:val="14"/>
                    </w:rPr>
                  </w:pPr>
                  <w:r>
                    <w:rPr>
                      <w:rFonts w:eastAsia="Times New Roman"/>
                      <w:sz w:val="14"/>
                      <w:szCs w:val="14"/>
                    </w:rPr>
                    <w:t>0,5</w:t>
                  </w:r>
                </w:p>
              </w:tc>
              <w:tc>
                <w:tcPr>
                  <w:tcW w:w="798" w:type="dxa"/>
                  <w:tcBorders>
                    <w:top w:val="nil"/>
                    <w:left w:val="nil"/>
                    <w:bottom w:val="single" w:sz="4" w:space="0" w:color="auto"/>
                    <w:right w:val="nil"/>
                  </w:tcBorders>
                  <w:shd w:val="clear" w:color="auto" w:fill="auto"/>
                </w:tcPr>
                <w:p w14:paraId="6F5750C3" w14:textId="2ABBA181" w:rsidR="007532AB" w:rsidRDefault="007532AB" w:rsidP="007532AB">
                  <w:pPr>
                    <w:spacing w:line="240" w:lineRule="auto"/>
                    <w:jc w:val="right"/>
                    <w:rPr>
                      <w:rFonts w:eastAsia="Times New Roman"/>
                      <w:sz w:val="14"/>
                      <w:szCs w:val="14"/>
                    </w:rPr>
                  </w:pPr>
                  <w:r>
                    <w:rPr>
                      <w:rFonts w:eastAsia="Times New Roman"/>
                      <w:sz w:val="14"/>
                      <w:szCs w:val="14"/>
                    </w:rPr>
                    <w:t>1000</w:t>
                  </w:r>
                </w:p>
              </w:tc>
              <w:tc>
                <w:tcPr>
                  <w:tcW w:w="1250" w:type="dxa"/>
                  <w:tcBorders>
                    <w:top w:val="nil"/>
                    <w:left w:val="nil"/>
                    <w:bottom w:val="single" w:sz="4" w:space="0" w:color="auto"/>
                    <w:right w:val="nil"/>
                  </w:tcBorders>
                  <w:shd w:val="clear" w:color="auto" w:fill="auto"/>
                  <w:tcMar>
                    <w:left w:w="0" w:type="dxa"/>
                    <w:right w:w="0" w:type="dxa"/>
                  </w:tcMar>
                </w:tcPr>
                <w:p w14:paraId="4D59B543" w14:textId="77777777" w:rsidR="007532AB" w:rsidRPr="0005536B" w:rsidRDefault="007532AB" w:rsidP="007532AB">
                  <w:pPr>
                    <w:spacing w:line="240" w:lineRule="auto"/>
                    <w:rPr>
                      <w:rFonts w:eastAsia="Times New Roman"/>
                      <w:sz w:val="14"/>
                      <w:szCs w:val="14"/>
                    </w:rPr>
                  </w:pPr>
                </w:p>
              </w:tc>
            </w:tr>
            <w:tr w:rsidR="007532AB" w:rsidRPr="00140032" w14:paraId="6755FD4B" w14:textId="77777777" w:rsidTr="0005536B">
              <w:trPr>
                <w:trHeight w:val="445"/>
              </w:trPr>
              <w:tc>
                <w:tcPr>
                  <w:tcW w:w="343" w:type="dxa"/>
                  <w:tcBorders>
                    <w:top w:val="nil"/>
                    <w:left w:val="single" w:sz="4" w:space="0" w:color="auto"/>
                    <w:bottom w:val="single" w:sz="4" w:space="0" w:color="auto"/>
                    <w:right w:val="nil"/>
                  </w:tcBorders>
                  <w:shd w:val="clear" w:color="auto" w:fill="auto"/>
                  <w:hideMark/>
                </w:tcPr>
                <w:p w14:paraId="4029B5A4" w14:textId="51A81612" w:rsidR="007532AB" w:rsidRPr="00140032" w:rsidRDefault="007532AB" w:rsidP="007532AB">
                  <w:pPr>
                    <w:spacing w:line="240" w:lineRule="auto"/>
                    <w:jc w:val="right"/>
                    <w:rPr>
                      <w:rFonts w:eastAsia="Times New Roman"/>
                      <w:sz w:val="14"/>
                      <w:szCs w:val="14"/>
                    </w:rPr>
                  </w:pPr>
                  <w:r>
                    <w:rPr>
                      <w:rFonts w:eastAsia="Times New Roman"/>
                      <w:sz w:val="14"/>
                      <w:szCs w:val="14"/>
                    </w:rPr>
                    <w:t>7.</w:t>
                  </w:r>
                </w:p>
              </w:tc>
              <w:tc>
                <w:tcPr>
                  <w:tcW w:w="3454" w:type="dxa"/>
                  <w:tcBorders>
                    <w:top w:val="nil"/>
                    <w:left w:val="nil"/>
                    <w:bottom w:val="single" w:sz="4" w:space="0" w:color="auto"/>
                    <w:right w:val="nil"/>
                  </w:tcBorders>
                  <w:shd w:val="clear" w:color="auto" w:fill="auto"/>
                  <w:hideMark/>
                </w:tcPr>
                <w:p w14:paraId="1B2A3C5B" w14:textId="6107001C" w:rsidR="007532AB" w:rsidRPr="00140032" w:rsidRDefault="007532AB" w:rsidP="007532AB">
                  <w:pPr>
                    <w:spacing w:line="240" w:lineRule="auto"/>
                    <w:rPr>
                      <w:rFonts w:eastAsia="Times New Roman"/>
                      <w:sz w:val="14"/>
                      <w:szCs w:val="14"/>
                    </w:rPr>
                  </w:pPr>
                  <w:r w:rsidRPr="00140032">
                    <w:rPr>
                      <w:rFonts w:eastAsia="Times New Roman"/>
                      <w:sz w:val="14"/>
                      <w:szCs w:val="14"/>
                    </w:rPr>
                    <w:t>P</w:t>
                  </w:r>
                  <w:r>
                    <w:rPr>
                      <w:rFonts w:eastAsia="Times New Roman"/>
                      <w:sz w:val="14"/>
                      <w:szCs w:val="14"/>
                    </w:rPr>
                    <w:t>rowadzenie postępowań ws. kar (administracyjnych) oraz przygotowanie dokumentacji w przypadku naruszeń przepisów karnych</w:t>
                  </w:r>
                </w:p>
              </w:tc>
              <w:tc>
                <w:tcPr>
                  <w:tcW w:w="539" w:type="dxa"/>
                  <w:tcBorders>
                    <w:top w:val="nil"/>
                    <w:left w:val="nil"/>
                    <w:bottom w:val="single" w:sz="4" w:space="0" w:color="auto"/>
                    <w:right w:val="nil"/>
                  </w:tcBorders>
                  <w:shd w:val="clear" w:color="auto" w:fill="auto"/>
                  <w:hideMark/>
                </w:tcPr>
                <w:p w14:paraId="3E5A387D" w14:textId="7BB8DA37" w:rsidR="007532AB" w:rsidRPr="00140032" w:rsidRDefault="007532AB" w:rsidP="007532AB">
                  <w:pPr>
                    <w:spacing w:line="240" w:lineRule="auto"/>
                    <w:jc w:val="right"/>
                    <w:rPr>
                      <w:rFonts w:eastAsia="Times New Roman"/>
                      <w:sz w:val="14"/>
                      <w:szCs w:val="14"/>
                    </w:rPr>
                  </w:pPr>
                  <w:r>
                    <w:rPr>
                      <w:rFonts w:eastAsia="Times New Roman"/>
                      <w:sz w:val="14"/>
                      <w:szCs w:val="14"/>
                    </w:rPr>
                    <w:t>60</w:t>
                  </w:r>
                </w:p>
              </w:tc>
              <w:tc>
                <w:tcPr>
                  <w:tcW w:w="818" w:type="dxa"/>
                  <w:tcBorders>
                    <w:top w:val="nil"/>
                    <w:left w:val="nil"/>
                    <w:bottom w:val="single" w:sz="4" w:space="0" w:color="auto"/>
                    <w:right w:val="nil"/>
                  </w:tcBorders>
                  <w:shd w:val="clear" w:color="auto" w:fill="auto"/>
                </w:tcPr>
                <w:p w14:paraId="2635ED8D" w14:textId="43684933" w:rsidR="007532AB" w:rsidRPr="00140032" w:rsidRDefault="007532AB" w:rsidP="007532AB">
                  <w:pPr>
                    <w:spacing w:line="240" w:lineRule="auto"/>
                    <w:jc w:val="right"/>
                    <w:rPr>
                      <w:rFonts w:eastAsia="Times New Roman"/>
                      <w:sz w:val="14"/>
                      <w:szCs w:val="14"/>
                    </w:rPr>
                  </w:pPr>
                  <w:r>
                    <w:rPr>
                      <w:rFonts w:eastAsia="Times New Roman"/>
                      <w:sz w:val="14"/>
                      <w:szCs w:val="14"/>
                    </w:rPr>
                    <w:t>10</w:t>
                  </w:r>
                </w:p>
              </w:tc>
              <w:tc>
                <w:tcPr>
                  <w:tcW w:w="798" w:type="dxa"/>
                  <w:tcBorders>
                    <w:top w:val="nil"/>
                    <w:left w:val="nil"/>
                    <w:bottom w:val="single" w:sz="4" w:space="0" w:color="auto"/>
                    <w:right w:val="nil"/>
                  </w:tcBorders>
                  <w:shd w:val="clear" w:color="auto" w:fill="auto"/>
                </w:tcPr>
                <w:p w14:paraId="7DE70167" w14:textId="429C0373" w:rsidR="007532AB" w:rsidRPr="00140032" w:rsidRDefault="007532AB" w:rsidP="007532AB">
                  <w:pPr>
                    <w:spacing w:line="240" w:lineRule="auto"/>
                    <w:jc w:val="right"/>
                    <w:rPr>
                      <w:rFonts w:eastAsia="Times New Roman"/>
                      <w:sz w:val="14"/>
                      <w:szCs w:val="14"/>
                    </w:rPr>
                  </w:pPr>
                  <w:r>
                    <w:rPr>
                      <w:rFonts w:eastAsia="Times New Roman"/>
                      <w:sz w:val="14"/>
                      <w:szCs w:val="14"/>
                    </w:rPr>
                    <w:t>600</w:t>
                  </w:r>
                </w:p>
              </w:tc>
              <w:tc>
                <w:tcPr>
                  <w:tcW w:w="1250" w:type="dxa"/>
                  <w:tcBorders>
                    <w:top w:val="nil"/>
                    <w:left w:val="nil"/>
                    <w:bottom w:val="single" w:sz="4" w:space="0" w:color="auto"/>
                    <w:right w:val="nil"/>
                  </w:tcBorders>
                  <w:shd w:val="clear" w:color="auto" w:fill="auto"/>
                  <w:tcMar>
                    <w:left w:w="0" w:type="dxa"/>
                    <w:right w:w="0" w:type="dxa"/>
                  </w:tcMar>
                  <w:hideMark/>
                </w:tcPr>
                <w:p w14:paraId="4F861EBC" w14:textId="3E7429F7" w:rsidR="007532AB" w:rsidRPr="0005536B" w:rsidRDefault="007532AB" w:rsidP="007532AB">
                  <w:pPr>
                    <w:spacing w:line="240" w:lineRule="auto"/>
                    <w:rPr>
                      <w:rFonts w:eastAsia="Times New Roman"/>
                      <w:sz w:val="14"/>
                      <w:szCs w:val="14"/>
                    </w:rPr>
                  </w:pPr>
                  <w:r>
                    <w:rPr>
                      <w:rFonts w:eastAsia="Times New Roman"/>
                      <w:sz w:val="14"/>
                      <w:szCs w:val="14"/>
                    </w:rPr>
                    <w:t>Ok. 61 tys. o</w:t>
                  </w:r>
                  <w:r w:rsidRPr="0005536B">
                    <w:rPr>
                      <w:rFonts w:eastAsia="Times New Roman"/>
                      <w:sz w:val="14"/>
                      <w:szCs w:val="14"/>
                    </w:rPr>
                    <w:t>peratorów systemów BSP</w:t>
                  </w:r>
                </w:p>
              </w:tc>
            </w:tr>
            <w:tr w:rsidR="007532AB" w:rsidRPr="00140032" w14:paraId="0A965E24" w14:textId="77777777" w:rsidTr="0005536B">
              <w:trPr>
                <w:trHeight w:val="576"/>
              </w:trPr>
              <w:tc>
                <w:tcPr>
                  <w:tcW w:w="343" w:type="dxa"/>
                  <w:tcBorders>
                    <w:top w:val="nil"/>
                    <w:left w:val="single" w:sz="4" w:space="0" w:color="auto"/>
                    <w:bottom w:val="single" w:sz="4" w:space="0" w:color="auto"/>
                    <w:right w:val="nil"/>
                  </w:tcBorders>
                  <w:shd w:val="clear" w:color="auto" w:fill="auto"/>
                  <w:hideMark/>
                </w:tcPr>
                <w:p w14:paraId="68E30EC5" w14:textId="67A7AD09" w:rsidR="007532AB" w:rsidRPr="00140032" w:rsidRDefault="007532AB" w:rsidP="007532AB">
                  <w:pPr>
                    <w:spacing w:line="240" w:lineRule="auto"/>
                    <w:jc w:val="right"/>
                    <w:rPr>
                      <w:rFonts w:eastAsia="Times New Roman"/>
                      <w:sz w:val="14"/>
                      <w:szCs w:val="14"/>
                    </w:rPr>
                  </w:pPr>
                  <w:r>
                    <w:rPr>
                      <w:rFonts w:eastAsia="Times New Roman"/>
                      <w:sz w:val="14"/>
                      <w:szCs w:val="14"/>
                    </w:rPr>
                    <w:t>8.</w:t>
                  </w:r>
                </w:p>
              </w:tc>
              <w:tc>
                <w:tcPr>
                  <w:tcW w:w="3454" w:type="dxa"/>
                  <w:tcBorders>
                    <w:top w:val="nil"/>
                    <w:left w:val="nil"/>
                    <w:bottom w:val="single" w:sz="4" w:space="0" w:color="auto"/>
                    <w:right w:val="nil"/>
                  </w:tcBorders>
                  <w:shd w:val="clear" w:color="auto" w:fill="auto"/>
                  <w:hideMark/>
                </w:tcPr>
                <w:p w14:paraId="69BA8450" w14:textId="72DDE906" w:rsidR="007532AB" w:rsidRPr="00140032" w:rsidRDefault="007532AB" w:rsidP="007532AB">
                  <w:pPr>
                    <w:spacing w:line="240" w:lineRule="auto"/>
                    <w:rPr>
                      <w:rFonts w:eastAsia="Times New Roman"/>
                      <w:sz w:val="14"/>
                      <w:szCs w:val="14"/>
                    </w:rPr>
                  </w:pPr>
                  <w:r w:rsidRPr="00140032">
                    <w:rPr>
                      <w:rFonts w:eastAsia="Times New Roman"/>
                      <w:sz w:val="14"/>
                      <w:szCs w:val="14"/>
                    </w:rPr>
                    <w:t xml:space="preserve">Udział w czynnościach kontrolnych na podstawie art. 27 ustawy </w:t>
                  </w:r>
                  <w:r>
                    <w:rPr>
                      <w:rFonts w:eastAsia="Times New Roman"/>
                      <w:sz w:val="14"/>
                      <w:szCs w:val="14"/>
                    </w:rPr>
                    <w:t xml:space="preserve">- </w:t>
                  </w:r>
                  <w:r w:rsidRPr="00140032">
                    <w:rPr>
                      <w:rFonts w:eastAsia="Times New Roman"/>
                      <w:sz w:val="14"/>
                      <w:szCs w:val="14"/>
                    </w:rPr>
                    <w:t xml:space="preserve">Prawo lotnicze, w zakresie </w:t>
                  </w:r>
                  <w:r>
                    <w:rPr>
                      <w:rFonts w:eastAsia="Times New Roman"/>
                      <w:sz w:val="14"/>
                      <w:szCs w:val="14"/>
                    </w:rPr>
                    <w:t>wykonywania operacji w kategorii szczególnej i certyfikowanej oraz podmiotów wyznaczonych prowadzących szkolenia</w:t>
                  </w:r>
                </w:p>
              </w:tc>
              <w:tc>
                <w:tcPr>
                  <w:tcW w:w="539" w:type="dxa"/>
                  <w:tcBorders>
                    <w:top w:val="nil"/>
                    <w:left w:val="nil"/>
                    <w:bottom w:val="single" w:sz="4" w:space="0" w:color="auto"/>
                    <w:right w:val="nil"/>
                  </w:tcBorders>
                  <w:shd w:val="clear" w:color="auto" w:fill="auto"/>
                  <w:hideMark/>
                </w:tcPr>
                <w:p w14:paraId="3372EEB8" w14:textId="31106E8C" w:rsidR="007532AB" w:rsidRPr="00140032" w:rsidRDefault="007532AB" w:rsidP="007532AB">
                  <w:pPr>
                    <w:spacing w:line="240" w:lineRule="auto"/>
                    <w:jc w:val="right"/>
                    <w:rPr>
                      <w:rFonts w:eastAsia="Times New Roman"/>
                      <w:sz w:val="14"/>
                      <w:szCs w:val="14"/>
                    </w:rPr>
                  </w:pPr>
                  <w:r>
                    <w:rPr>
                      <w:rFonts w:eastAsia="Times New Roman"/>
                      <w:sz w:val="14"/>
                      <w:szCs w:val="14"/>
                    </w:rPr>
                    <w:t>50</w:t>
                  </w:r>
                </w:p>
              </w:tc>
              <w:tc>
                <w:tcPr>
                  <w:tcW w:w="818" w:type="dxa"/>
                  <w:tcBorders>
                    <w:top w:val="nil"/>
                    <w:left w:val="nil"/>
                    <w:bottom w:val="single" w:sz="4" w:space="0" w:color="auto"/>
                    <w:right w:val="nil"/>
                  </w:tcBorders>
                  <w:shd w:val="clear" w:color="auto" w:fill="auto"/>
                  <w:hideMark/>
                </w:tcPr>
                <w:p w14:paraId="5B3CD3C5" w14:textId="3659C790" w:rsidR="007532AB" w:rsidRPr="00140032" w:rsidRDefault="007532AB" w:rsidP="007532AB">
                  <w:pPr>
                    <w:spacing w:line="240" w:lineRule="auto"/>
                    <w:jc w:val="right"/>
                    <w:rPr>
                      <w:rFonts w:eastAsia="Times New Roman"/>
                      <w:sz w:val="14"/>
                      <w:szCs w:val="14"/>
                    </w:rPr>
                  </w:pPr>
                  <w:r>
                    <w:rPr>
                      <w:rFonts w:eastAsia="Times New Roman"/>
                      <w:sz w:val="14"/>
                      <w:szCs w:val="14"/>
                    </w:rPr>
                    <w:t>21</w:t>
                  </w:r>
                </w:p>
              </w:tc>
              <w:tc>
                <w:tcPr>
                  <w:tcW w:w="798" w:type="dxa"/>
                  <w:tcBorders>
                    <w:top w:val="nil"/>
                    <w:left w:val="nil"/>
                    <w:bottom w:val="single" w:sz="4" w:space="0" w:color="auto"/>
                    <w:right w:val="nil"/>
                  </w:tcBorders>
                  <w:shd w:val="clear" w:color="auto" w:fill="auto"/>
                  <w:hideMark/>
                </w:tcPr>
                <w:p w14:paraId="47951EFB" w14:textId="41DAEE8D" w:rsidR="007532AB" w:rsidRPr="00140032" w:rsidRDefault="007532AB" w:rsidP="007532AB">
                  <w:pPr>
                    <w:spacing w:line="240" w:lineRule="auto"/>
                    <w:jc w:val="right"/>
                    <w:rPr>
                      <w:rFonts w:eastAsia="Times New Roman"/>
                      <w:sz w:val="14"/>
                      <w:szCs w:val="14"/>
                    </w:rPr>
                  </w:pPr>
                  <w:r>
                    <w:rPr>
                      <w:rFonts w:eastAsia="Times New Roman"/>
                      <w:sz w:val="14"/>
                      <w:szCs w:val="14"/>
                    </w:rPr>
                    <w:t>1050</w:t>
                  </w:r>
                </w:p>
              </w:tc>
              <w:tc>
                <w:tcPr>
                  <w:tcW w:w="1250" w:type="dxa"/>
                  <w:tcBorders>
                    <w:top w:val="nil"/>
                    <w:left w:val="nil"/>
                    <w:bottom w:val="single" w:sz="4" w:space="0" w:color="auto"/>
                    <w:right w:val="nil"/>
                  </w:tcBorders>
                  <w:shd w:val="clear" w:color="auto" w:fill="auto"/>
                  <w:hideMark/>
                </w:tcPr>
                <w:p w14:paraId="296108AB" w14:textId="77777777" w:rsidR="007532AB" w:rsidRPr="00140032" w:rsidRDefault="007532AB" w:rsidP="007532AB">
                  <w:pPr>
                    <w:spacing w:line="240" w:lineRule="auto"/>
                    <w:rPr>
                      <w:rFonts w:eastAsia="Times New Roman"/>
                      <w:color w:val="FF0000"/>
                      <w:sz w:val="14"/>
                      <w:szCs w:val="14"/>
                    </w:rPr>
                  </w:pPr>
                  <w:r w:rsidRPr="00140032">
                    <w:rPr>
                      <w:rFonts w:eastAsia="Times New Roman"/>
                      <w:color w:val="FF0000"/>
                      <w:sz w:val="14"/>
                      <w:szCs w:val="14"/>
                    </w:rPr>
                    <w:t> </w:t>
                  </w:r>
                </w:p>
              </w:tc>
            </w:tr>
            <w:tr w:rsidR="007532AB" w:rsidRPr="00140032" w14:paraId="0D32F3A3" w14:textId="77777777" w:rsidTr="0005536B">
              <w:trPr>
                <w:trHeight w:val="264"/>
              </w:trPr>
              <w:tc>
                <w:tcPr>
                  <w:tcW w:w="343" w:type="dxa"/>
                  <w:tcBorders>
                    <w:top w:val="nil"/>
                    <w:left w:val="single" w:sz="4" w:space="0" w:color="auto"/>
                    <w:bottom w:val="nil"/>
                    <w:right w:val="nil"/>
                  </w:tcBorders>
                  <w:shd w:val="clear" w:color="auto" w:fill="auto"/>
                  <w:hideMark/>
                </w:tcPr>
                <w:p w14:paraId="72FE7D8B" w14:textId="77777777" w:rsidR="007532AB" w:rsidRPr="00140032" w:rsidRDefault="007532AB" w:rsidP="007532AB">
                  <w:pPr>
                    <w:spacing w:line="240" w:lineRule="auto"/>
                    <w:rPr>
                      <w:rFonts w:eastAsia="Times New Roman"/>
                      <w:color w:val="FF0000"/>
                      <w:sz w:val="14"/>
                      <w:szCs w:val="14"/>
                    </w:rPr>
                  </w:pPr>
                </w:p>
              </w:tc>
              <w:tc>
                <w:tcPr>
                  <w:tcW w:w="4811" w:type="dxa"/>
                  <w:gridSpan w:val="3"/>
                  <w:tcBorders>
                    <w:top w:val="single" w:sz="4" w:space="0" w:color="auto"/>
                    <w:left w:val="nil"/>
                    <w:bottom w:val="nil"/>
                    <w:right w:val="nil"/>
                  </w:tcBorders>
                  <w:shd w:val="clear" w:color="auto" w:fill="auto"/>
                  <w:hideMark/>
                </w:tcPr>
                <w:p w14:paraId="28233F80" w14:textId="77777777" w:rsidR="007532AB" w:rsidRPr="00140032" w:rsidRDefault="007532AB" w:rsidP="007532AB">
                  <w:pPr>
                    <w:spacing w:line="240" w:lineRule="auto"/>
                    <w:rPr>
                      <w:rFonts w:eastAsia="Times New Roman"/>
                      <w:b/>
                      <w:bCs/>
                      <w:sz w:val="16"/>
                      <w:szCs w:val="16"/>
                      <w:u w:val="single"/>
                    </w:rPr>
                  </w:pPr>
                  <w:r w:rsidRPr="00140032">
                    <w:rPr>
                      <w:rFonts w:eastAsia="Times New Roman"/>
                      <w:b/>
                      <w:bCs/>
                      <w:sz w:val="16"/>
                      <w:szCs w:val="16"/>
                      <w:u w:val="single"/>
                    </w:rPr>
                    <w:t>Roczna pracochłonność</w:t>
                  </w:r>
                </w:p>
              </w:tc>
              <w:tc>
                <w:tcPr>
                  <w:tcW w:w="798" w:type="dxa"/>
                  <w:tcBorders>
                    <w:top w:val="nil"/>
                    <w:left w:val="nil"/>
                    <w:bottom w:val="nil"/>
                    <w:right w:val="nil"/>
                  </w:tcBorders>
                  <w:shd w:val="clear" w:color="auto" w:fill="auto"/>
                  <w:hideMark/>
                </w:tcPr>
                <w:p w14:paraId="6B47CAAB" w14:textId="6EF4AAF8" w:rsidR="007532AB" w:rsidRPr="00140032" w:rsidRDefault="007532AB" w:rsidP="007532AB">
                  <w:pPr>
                    <w:spacing w:line="240" w:lineRule="auto"/>
                    <w:jc w:val="right"/>
                    <w:rPr>
                      <w:rFonts w:eastAsia="Times New Roman"/>
                      <w:b/>
                      <w:bCs/>
                      <w:sz w:val="16"/>
                      <w:szCs w:val="16"/>
                      <w:u w:val="single"/>
                    </w:rPr>
                  </w:pPr>
                  <w:r>
                    <w:rPr>
                      <w:rFonts w:eastAsia="Times New Roman"/>
                      <w:b/>
                      <w:bCs/>
                      <w:sz w:val="16"/>
                      <w:szCs w:val="16"/>
                      <w:u w:val="single"/>
                    </w:rPr>
                    <w:t>21500</w:t>
                  </w:r>
                </w:p>
              </w:tc>
              <w:tc>
                <w:tcPr>
                  <w:tcW w:w="1250" w:type="dxa"/>
                  <w:tcBorders>
                    <w:top w:val="nil"/>
                    <w:left w:val="nil"/>
                    <w:bottom w:val="nil"/>
                    <w:right w:val="nil"/>
                  </w:tcBorders>
                  <w:shd w:val="clear" w:color="auto" w:fill="auto"/>
                  <w:hideMark/>
                </w:tcPr>
                <w:p w14:paraId="23083701" w14:textId="77777777" w:rsidR="007532AB" w:rsidRPr="00140032" w:rsidRDefault="007532AB" w:rsidP="007532AB">
                  <w:pPr>
                    <w:spacing w:line="240" w:lineRule="auto"/>
                    <w:rPr>
                      <w:rFonts w:eastAsia="Times New Roman"/>
                      <w:sz w:val="20"/>
                    </w:rPr>
                  </w:pPr>
                </w:p>
              </w:tc>
            </w:tr>
          </w:tbl>
          <w:p w14:paraId="300BA5C2" w14:textId="0D0CEFFD" w:rsidR="007532AB" w:rsidRPr="004547D4" w:rsidRDefault="007532AB" w:rsidP="007532AB">
            <w:pPr>
              <w:widowControl/>
              <w:autoSpaceDE/>
              <w:autoSpaceDN/>
              <w:adjustRightInd/>
              <w:spacing w:line="240" w:lineRule="auto"/>
              <w:jc w:val="both"/>
              <w:rPr>
                <w:rFonts w:eastAsia="Calibri" w:cs="Times New Roman"/>
                <w:bCs/>
                <w:sz w:val="22"/>
                <w:szCs w:val="22"/>
                <w:lang w:eastAsia="en-US"/>
              </w:rPr>
            </w:pPr>
          </w:p>
          <w:p w14:paraId="3E855702" w14:textId="64E629A5" w:rsidR="007532AB" w:rsidRDefault="007532AB" w:rsidP="007532AB">
            <w:pPr>
              <w:widowControl/>
              <w:autoSpaceDE/>
              <w:autoSpaceDN/>
              <w:adjustRightInd/>
              <w:spacing w:line="240" w:lineRule="auto"/>
              <w:jc w:val="both"/>
              <w:rPr>
                <w:rFonts w:eastAsia="Calibri" w:cs="Times New Roman"/>
                <w:b/>
                <w:bCs/>
                <w:sz w:val="22"/>
                <w:szCs w:val="22"/>
                <w:u w:val="single"/>
                <w:lang w:eastAsia="en-US"/>
              </w:rPr>
            </w:pPr>
            <w:r w:rsidRPr="00493E19">
              <w:rPr>
                <w:rFonts w:eastAsia="Calibri" w:cs="Times New Roman"/>
                <w:b/>
                <w:bCs/>
                <w:sz w:val="22"/>
                <w:szCs w:val="22"/>
                <w:u w:val="single"/>
                <w:lang w:eastAsia="en-US"/>
              </w:rPr>
              <w:t>2) PAŻP</w:t>
            </w:r>
          </w:p>
          <w:p w14:paraId="6CD88FEE" w14:textId="6D084F3D" w:rsidR="007532AB" w:rsidRDefault="007532AB" w:rsidP="007532AB">
            <w:pPr>
              <w:widowControl/>
              <w:autoSpaceDE/>
              <w:autoSpaceDN/>
              <w:adjustRightInd/>
              <w:spacing w:line="240" w:lineRule="auto"/>
              <w:jc w:val="both"/>
              <w:rPr>
                <w:rFonts w:eastAsia="Calibri" w:cs="Times New Roman"/>
                <w:b/>
                <w:bCs/>
                <w:sz w:val="22"/>
                <w:szCs w:val="22"/>
                <w:u w:val="single"/>
                <w:lang w:eastAsia="en-US"/>
              </w:rPr>
            </w:pPr>
          </w:p>
          <w:p w14:paraId="72D4D124" w14:textId="283956C9" w:rsidR="007532AB" w:rsidRPr="00493E19" w:rsidRDefault="007532AB" w:rsidP="007532AB">
            <w:pPr>
              <w:widowControl/>
              <w:autoSpaceDE/>
              <w:autoSpaceDN/>
              <w:adjustRightInd/>
              <w:spacing w:line="240" w:lineRule="auto"/>
              <w:jc w:val="both"/>
              <w:rPr>
                <w:rFonts w:eastAsia="Calibri" w:cs="Times New Roman"/>
                <w:b/>
                <w:bCs/>
                <w:sz w:val="22"/>
                <w:szCs w:val="22"/>
                <w:u w:val="single"/>
                <w:lang w:eastAsia="en-US"/>
              </w:rPr>
            </w:pPr>
            <w:r>
              <w:rPr>
                <w:rFonts w:eastAsia="Calibri" w:cs="Times New Roman"/>
                <w:b/>
                <w:bCs/>
                <w:sz w:val="22"/>
                <w:szCs w:val="22"/>
                <w:u w:val="single"/>
                <w:lang w:eastAsia="en-US"/>
              </w:rPr>
              <w:t>2.1. Przychody</w:t>
            </w:r>
          </w:p>
          <w:p w14:paraId="1C67CCA8" w14:textId="3407C21D" w:rsidR="007532AB" w:rsidRDefault="007532AB" w:rsidP="007532AB">
            <w:pPr>
              <w:widowControl/>
              <w:autoSpaceDE/>
              <w:autoSpaceDN/>
              <w:adjustRightInd/>
              <w:spacing w:before="120"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Wpływy PAŻP z tytułu opłat za wyznaczanie stref geograficznych dla BSP mają charakter publiczny, tym samym nie są związane z działalnością gospodarczą realizowaną pr</w:t>
            </w:r>
            <w:r>
              <w:rPr>
                <w:rFonts w:eastAsia="Calibri" w:cs="Times New Roman"/>
                <w:bCs/>
                <w:sz w:val="22"/>
                <w:szCs w:val="22"/>
                <w:lang w:eastAsia="en-US"/>
              </w:rPr>
              <w:t>zez PAŻP</w:t>
            </w:r>
            <w:r w:rsidRPr="004547D4">
              <w:rPr>
                <w:rFonts w:eastAsia="Calibri" w:cs="Times New Roman"/>
                <w:bCs/>
                <w:sz w:val="22"/>
                <w:szCs w:val="22"/>
                <w:lang w:eastAsia="en-US"/>
              </w:rPr>
              <w:t xml:space="preserve">. Ich celem jest rekompensata dodatkowych kosztów osobowych, które będą ponoszone przez PAŻP z tytułu </w:t>
            </w:r>
            <w:r>
              <w:rPr>
                <w:rFonts w:eastAsia="Calibri" w:cs="Times New Roman"/>
                <w:bCs/>
                <w:sz w:val="22"/>
                <w:szCs w:val="22"/>
                <w:lang w:eastAsia="en-US"/>
              </w:rPr>
              <w:t>realizacji dodatkowych zadań nakładanych projektowaną ustawą, a także stworzenia i utrzymania systemu informatycznego do tworzenia stref geograficznych w sposób zautomatyzowany</w:t>
            </w:r>
            <w:r w:rsidRPr="004547D4">
              <w:rPr>
                <w:rFonts w:eastAsia="Calibri" w:cs="Times New Roman"/>
                <w:bCs/>
                <w:sz w:val="22"/>
                <w:szCs w:val="22"/>
                <w:lang w:eastAsia="en-US"/>
              </w:rPr>
              <w:t>.</w:t>
            </w:r>
          </w:p>
          <w:p w14:paraId="35F868D2" w14:textId="17BEF3E8" w:rsidR="007532AB" w:rsidRDefault="007532AB" w:rsidP="007532AB">
            <w:pPr>
              <w:widowControl/>
              <w:autoSpaceDE/>
              <w:autoSpaceDN/>
              <w:adjustRightInd/>
              <w:spacing w:before="120" w:after="120" w:line="240" w:lineRule="auto"/>
              <w:jc w:val="both"/>
              <w:rPr>
                <w:rFonts w:eastAsia="Calibri" w:cs="Times New Roman"/>
                <w:bCs/>
                <w:sz w:val="22"/>
                <w:szCs w:val="22"/>
                <w:lang w:eastAsia="en-US"/>
              </w:rPr>
            </w:pPr>
            <w:r w:rsidRPr="003C6A77">
              <w:rPr>
                <w:rFonts w:eastAsia="Calibri" w:cs="Times New Roman"/>
                <w:bCs/>
                <w:sz w:val="22"/>
                <w:szCs w:val="22"/>
                <w:lang w:eastAsia="en-US"/>
              </w:rPr>
              <w:t xml:space="preserve">Prognoza przychodów PAŻP z tytułu opłat za wyznaczanie stref geograficznych opiera się na wiedzy eksperckiej </w:t>
            </w:r>
            <w:r>
              <w:rPr>
                <w:rFonts w:eastAsia="Calibri" w:cs="Times New Roman"/>
                <w:bCs/>
                <w:sz w:val="22"/>
                <w:szCs w:val="22"/>
                <w:lang w:eastAsia="en-US"/>
              </w:rPr>
              <w:t>PAŻP</w:t>
            </w:r>
            <w:r w:rsidRPr="003C6A77">
              <w:rPr>
                <w:rFonts w:eastAsia="Calibri" w:cs="Times New Roman"/>
                <w:bCs/>
                <w:sz w:val="22"/>
                <w:szCs w:val="22"/>
                <w:lang w:eastAsia="en-US"/>
              </w:rPr>
              <w:t xml:space="preserve"> w zakresie potencjalnego rozwoju i kształtowania się rynku </w:t>
            </w:r>
            <w:r>
              <w:rPr>
                <w:rFonts w:eastAsia="Calibri" w:cs="Times New Roman"/>
                <w:bCs/>
                <w:sz w:val="22"/>
                <w:szCs w:val="22"/>
                <w:lang w:eastAsia="en-US"/>
              </w:rPr>
              <w:t>BSP</w:t>
            </w:r>
            <w:r w:rsidRPr="003C6A77">
              <w:rPr>
                <w:rFonts w:eastAsia="Calibri" w:cs="Times New Roman"/>
                <w:bCs/>
                <w:sz w:val="22"/>
                <w:szCs w:val="22"/>
                <w:lang w:eastAsia="en-US"/>
              </w:rPr>
              <w:t xml:space="preserve"> w Polsce. W tym celu, po pierwsze określono potencjalny pułap przychodów możliw</w:t>
            </w:r>
            <w:r>
              <w:rPr>
                <w:rFonts w:eastAsia="Calibri" w:cs="Times New Roman"/>
                <w:bCs/>
                <w:sz w:val="22"/>
                <w:szCs w:val="22"/>
                <w:lang w:eastAsia="en-US"/>
              </w:rPr>
              <w:t>ych</w:t>
            </w:r>
            <w:r w:rsidRPr="003C6A77">
              <w:rPr>
                <w:rFonts w:eastAsia="Calibri" w:cs="Times New Roman"/>
                <w:bCs/>
                <w:sz w:val="22"/>
                <w:szCs w:val="22"/>
                <w:lang w:eastAsia="en-US"/>
              </w:rPr>
              <w:t xml:space="preserve"> do osiągnięcia </w:t>
            </w:r>
            <w:r>
              <w:rPr>
                <w:rFonts w:eastAsia="Calibri" w:cs="Times New Roman"/>
                <w:bCs/>
                <w:sz w:val="22"/>
                <w:szCs w:val="22"/>
                <w:lang w:eastAsia="en-US"/>
              </w:rPr>
              <w:t xml:space="preserve">i pozyskania przez </w:t>
            </w:r>
            <w:r w:rsidRPr="003C6A77">
              <w:rPr>
                <w:rFonts w:eastAsia="Calibri" w:cs="Times New Roman"/>
                <w:bCs/>
                <w:sz w:val="22"/>
                <w:szCs w:val="22"/>
                <w:lang w:eastAsia="en-US"/>
              </w:rPr>
              <w:t xml:space="preserve">PAŻP jako podmiotu odpowiedzialnego za wyznaczanie stref geograficznych. Po drugie, zidentyfikowano podmioty gospodarcze, które będą potencjalnie zainteresowane wyznaczaniem stref geograficznych na potrzeby prowadzonej działalności. Po trzecie, ogólny poziom prognozowanych przychodów, przyporządkowano proporcjonalnie do poszczególnych grup podmiotów uwzględniając jednostkową opłatę. Rezultatem przeprowadzonych prac analitycznych </w:t>
            </w:r>
            <w:r>
              <w:rPr>
                <w:rFonts w:eastAsia="Calibri" w:cs="Times New Roman"/>
                <w:bCs/>
                <w:sz w:val="22"/>
                <w:szCs w:val="22"/>
                <w:lang w:eastAsia="en-US"/>
              </w:rPr>
              <w:t>są</w:t>
            </w:r>
            <w:r w:rsidRPr="003C6A77">
              <w:rPr>
                <w:rFonts w:eastAsia="Calibri" w:cs="Times New Roman"/>
                <w:bCs/>
                <w:sz w:val="22"/>
                <w:szCs w:val="22"/>
                <w:lang w:eastAsia="en-US"/>
              </w:rPr>
              <w:t xml:space="preserve"> zaprezentowane w OSR założenia odnośnie liczby jednostek</w:t>
            </w:r>
            <w:r>
              <w:rPr>
                <w:rFonts w:eastAsia="Calibri" w:cs="Times New Roman"/>
                <w:bCs/>
                <w:sz w:val="22"/>
                <w:szCs w:val="22"/>
                <w:lang w:eastAsia="en-US"/>
              </w:rPr>
              <w:t xml:space="preserve"> wnioskujących o strefy geograficzne</w:t>
            </w:r>
            <w:r w:rsidRPr="003C6A77">
              <w:rPr>
                <w:rFonts w:eastAsia="Calibri" w:cs="Times New Roman"/>
                <w:bCs/>
                <w:sz w:val="22"/>
                <w:szCs w:val="22"/>
                <w:lang w:eastAsia="en-US"/>
              </w:rPr>
              <w:t xml:space="preserve"> oraz ich zakładane wzrosty w kolejnych latach.</w:t>
            </w:r>
          </w:p>
          <w:p w14:paraId="36F3C559" w14:textId="5F63D42C" w:rsidR="007532AB" w:rsidRDefault="007532AB" w:rsidP="007532AB">
            <w:pPr>
              <w:widowControl/>
              <w:autoSpaceDE/>
              <w:autoSpaceDN/>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 prezentowanych kalkulacjach uwzględniono opłaty za czynności PAŻP w</w:t>
            </w:r>
            <w:r w:rsidR="00072270">
              <w:rPr>
                <w:rFonts w:eastAsia="Calibri" w:cs="Times New Roman"/>
                <w:bCs/>
                <w:sz w:val="22"/>
                <w:szCs w:val="22"/>
                <w:lang w:eastAsia="en-US"/>
              </w:rPr>
              <w:t> </w:t>
            </w:r>
            <w:r>
              <w:rPr>
                <w:rFonts w:eastAsia="Calibri" w:cs="Times New Roman"/>
                <w:bCs/>
                <w:sz w:val="22"/>
                <w:szCs w:val="22"/>
                <w:lang w:eastAsia="en-US"/>
              </w:rPr>
              <w:t>wartościach netto.</w:t>
            </w:r>
          </w:p>
          <w:p w14:paraId="628EF09A" w14:textId="6DA0A50D" w:rsidR="007532AB" w:rsidRPr="004547D4" w:rsidRDefault="007532AB" w:rsidP="007532AB">
            <w:pPr>
              <w:widowControl/>
              <w:autoSpaceDE/>
              <w:autoSpaceDN/>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 toku prac legislacyjnych, wszelkie opłaty związane z obsługą wniosków dot. stref geograficznych dla BSP zostały waloryzowane o odpowiednie oraz skumulowane wskaźniki cen towarów i usług konsumpcyjnych opublikowane dla 2021 i 2022 r. przez Prezesa Głównego Urzędu Statystycznego (19,7%).</w:t>
            </w:r>
          </w:p>
          <w:p w14:paraId="3E17CC8A" w14:textId="33555265" w:rsidR="007532AB" w:rsidRPr="004547D4" w:rsidRDefault="007532AB" w:rsidP="007532AB">
            <w:pPr>
              <w:widowControl/>
              <w:autoSpaceDE/>
              <w:autoSpaceDN/>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Wysokość potencjalnych przychodów PAŻP</w:t>
            </w:r>
            <w:r w:rsidRPr="004547D4">
              <w:rPr>
                <w:rFonts w:eastAsia="Calibri" w:cs="Times New Roman"/>
                <w:bCs/>
                <w:sz w:val="22"/>
                <w:szCs w:val="22"/>
                <w:lang w:eastAsia="en-US"/>
              </w:rPr>
              <w:t xml:space="preserve"> z tytułu </w:t>
            </w:r>
            <w:r>
              <w:rPr>
                <w:rFonts w:eastAsia="Calibri" w:cs="Times New Roman"/>
                <w:bCs/>
                <w:sz w:val="22"/>
                <w:szCs w:val="22"/>
                <w:lang w:eastAsia="en-US"/>
              </w:rPr>
              <w:t>wniosków o strefy geograficzne</w:t>
            </w:r>
            <w:r w:rsidRPr="004547D4">
              <w:rPr>
                <w:rFonts w:eastAsia="Calibri" w:cs="Times New Roman"/>
                <w:bCs/>
                <w:sz w:val="22"/>
                <w:szCs w:val="22"/>
                <w:lang w:eastAsia="en-US"/>
              </w:rPr>
              <w:t xml:space="preserve"> na podstawie projektowanych przepisów w poszczególnych latach, z uwzględnieniem katalogu podmiotów uprawnionych do występowania z wnioskami o wyznaczenie stref geograficznych dla BSP, została skalkulowana</w:t>
            </w:r>
            <w:r>
              <w:rPr>
                <w:rFonts w:eastAsia="Calibri" w:cs="Times New Roman"/>
                <w:bCs/>
                <w:sz w:val="22"/>
                <w:szCs w:val="22"/>
                <w:lang w:eastAsia="en-US"/>
              </w:rPr>
              <w:t xml:space="preserve"> w następujący sposób</w:t>
            </w:r>
            <w:r w:rsidRPr="004547D4">
              <w:rPr>
                <w:rFonts w:eastAsia="Calibri" w:cs="Times New Roman"/>
                <w:bCs/>
                <w:sz w:val="22"/>
                <w:szCs w:val="22"/>
                <w:lang w:eastAsia="en-US"/>
              </w:rPr>
              <w:t>:</w:t>
            </w:r>
          </w:p>
          <w:p w14:paraId="01648C89" w14:textId="21CB5AD4"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bookmarkStart w:id="7" w:name="_Hlk124938247"/>
            <w:r w:rsidRPr="002551AA">
              <w:rPr>
                <w:rFonts w:eastAsia="Calibri" w:cs="Times New Roman"/>
                <w:bCs/>
                <w:sz w:val="22"/>
                <w:szCs w:val="22"/>
                <w:lang w:eastAsia="en-US"/>
              </w:rPr>
              <w:t>Organy jednostek samorządu terytorialnego: organy gminy; organy powiatu; organy samorządu województwa:</w:t>
            </w:r>
          </w:p>
          <w:p w14:paraId="2D2A12B3" w14:textId="58844139" w:rsidR="007532AB" w:rsidRPr="002551AA" w:rsidRDefault="007532AB" w:rsidP="007532AB">
            <w:pPr>
              <w:widowControl/>
              <w:numPr>
                <w:ilvl w:val="0"/>
                <w:numId w:val="10"/>
              </w:numPr>
              <w:autoSpaceDE/>
              <w:autoSpaceDN/>
              <w:adjustRightInd/>
              <w:spacing w:before="120" w:after="120" w:line="240" w:lineRule="auto"/>
              <w:jc w:val="both"/>
              <w:rPr>
                <w:rFonts w:eastAsia="Calibri" w:cs="Times New Roman"/>
                <w:bCs/>
                <w:sz w:val="22"/>
                <w:szCs w:val="22"/>
                <w:lang w:eastAsia="en-US"/>
              </w:rPr>
            </w:pPr>
            <w:r w:rsidRPr="002551AA">
              <w:rPr>
                <w:rFonts w:eastAsia="Calibri" w:cs="Times New Roman"/>
                <w:bCs/>
                <w:sz w:val="22"/>
                <w:szCs w:val="22"/>
                <w:lang w:eastAsia="en-US"/>
              </w:rPr>
              <w:t>Liczba podmiotów uprawnionych</w:t>
            </w:r>
            <w:r>
              <w:rPr>
                <w:rFonts w:eastAsia="Calibri" w:cs="Times New Roman"/>
                <w:bCs/>
                <w:sz w:val="22"/>
                <w:szCs w:val="22"/>
                <w:lang w:eastAsia="en-US"/>
              </w:rPr>
              <w:t xml:space="preserve"> wg stanu na 01.01.2022 r.</w:t>
            </w:r>
            <w:r w:rsidRPr="002551AA">
              <w:rPr>
                <w:rFonts w:eastAsia="Calibri" w:cs="Times New Roman"/>
                <w:bCs/>
                <w:sz w:val="22"/>
                <w:szCs w:val="22"/>
                <w:lang w:eastAsia="en-US"/>
              </w:rPr>
              <w:t>: 2477</w:t>
            </w:r>
            <w:r>
              <w:rPr>
                <w:rFonts w:eastAsia="Calibri" w:cs="Times New Roman"/>
                <w:bCs/>
                <w:sz w:val="22"/>
                <w:szCs w:val="22"/>
                <w:lang w:eastAsia="en-US"/>
              </w:rPr>
              <w:t xml:space="preserve"> gmin, </w:t>
            </w:r>
            <w:r w:rsidRPr="004A0CF8">
              <w:rPr>
                <w:rFonts w:eastAsia="Calibri" w:cs="Times New Roman"/>
                <w:bCs/>
                <w:sz w:val="22"/>
                <w:szCs w:val="22"/>
                <w:lang w:eastAsia="en-US"/>
              </w:rPr>
              <w:t>314 powiatów i 66 miast na prawach powiatu,</w:t>
            </w:r>
            <w:r>
              <w:t xml:space="preserve"> </w:t>
            </w:r>
            <w:r w:rsidRPr="004A0CF8">
              <w:rPr>
                <w:rFonts w:eastAsia="Calibri" w:cs="Times New Roman"/>
                <w:bCs/>
                <w:sz w:val="22"/>
                <w:szCs w:val="22"/>
                <w:lang w:eastAsia="en-US"/>
              </w:rPr>
              <w:t>16 województw</w:t>
            </w:r>
            <w:r>
              <w:rPr>
                <w:rFonts w:eastAsia="Calibri" w:cs="Times New Roman"/>
                <w:bCs/>
                <w:sz w:val="22"/>
                <w:szCs w:val="22"/>
                <w:lang w:eastAsia="en-US"/>
              </w:rPr>
              <w:t>;</w:t>
            </w:r>
          </w:p>
          <w:p w14:paraId="421C1AA8" w14:textId="7CA09E1F"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1-10 stref geograficznych dla BSP: 305 (opłata w wys. 350 zł za taką strefę)</w:t>
            </w:r>
            <w:r>
              <w:rPr>
                <w:rFonts w:eastAsia="Calibri" w:cs="Times New Roman"/>
                <w:bCs/>
                <w:sz w:val="22"/>
                <w:szCs w:val="22"/>
                <w:lang w:eastAsia="en-US"/>
              </w:rPr>
              <w:t>;</w:t>
            </w:r>
          </w:p>
          <w:p w14:paraId="4B377503" w14:textId="6ED3AC2F"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170 (opłata w wys. 230 zł za taką strefę)</w:t>
            </w:r>
            <w:r>
              <w:rPr>
                <w:rFonts w:eastAsia="Calibri" w:cs="Times New Roman"/>
                <w:bCs/>
                <w:sz w:val="22"/>
                <w:szCs w:val="22"/>
                <w:lang w:eastAsia="en-US"/>
              </w:rPr>
              <w:t>;</w:t>
            </w:r>
          </w:p>
          <w:p w14:paraId="2990CB4F" w14:textId="731C8424"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90 (opłata w</w:t>
            </w:r>
            <w:r w:rsidR="00072270">
              <w:rPr>
                <w:rFonts w:eastAsia="Calibri" w:cs="Times New Roman"/>
                <w:bCs/>
                <w:sz w:val="22"/>
                <w:szCs w:val="22"/>
                <w:lang w:eastAsia="en-US"/>
              </w:rPr>
              <w:t> </w:t>
            </w:r>
            <w:r w:rsidRPr="002551AA">
              <w:rPr>
                <w:rFonts w:eastAsia="Calibri" w:cs="Times New Roman"/>
                <w:bCs/>
                <w:sz w:val="22"/>
                <w:szCs w:val="22"/>
                <w:lang w:eastAsia="en-US"/>
              </w:rPr>
              <w:t>wys. 140 zł za taką strefę)</w:t>
            </w:r>
            <w:r>
              <w:rPr>
                <w:rFonts w:eastAsia="Calibri" w:cs="Times New Roman"/>
                <w:bCs/>
                <w:sz w:val="22"/>
                <w:szCs w:val="22"/>
                <w:lang w:eastAsia="en-US"/>
              </w:rPr>
              <w:t>;</w:t>
            </w:r>
          </w:p>
          <w:p w14:paraId="32D459A9" w14:textId="1E96C07C"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183 (opłata w wys. 90 zł za taką strefę)</w:t>
            </w:r>
            <w:r>
              <w:rPr>
                <w:rFonts w:eastAsia="Calibri" w:cs="Times New Roman"/>
                <w:bCs/>
                <w:sz w:val="22"/>
                <w:szCs w:val="22"/>
                <w:lang w:eastAsia="en-US"/>
              </w:rPr>
              <w:t>;</w:t>
            </w:r>
          </w:p>
          <w:p w14:paraId="17807892" w14:textId="18D769AE"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102 (opłata w wys. 70 zł za taką strefę)</w:t>
            </w:r>
            <w:r>
              <w:rPr>
                <w:rFonts w:eastAsia="Calibri" w:cs="Times New Roman"/>
                <w:bCs/>
                <w:sz w:val="22"/>
                <w:szCs w:val="22"/>
                <w:lang w:eastAsia="en-US"/>
              </w:rPr>
              <w:t>;</w:t>
            </w:r>
          </w:p>
          <w:p w14:paraId="369E3A27" w14:textId="79F22B23"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54 (opłata w wys. 35 zł za taką strefę)</w:t>
            </w:r>
            <w:r>
              <w:rPr>
                <w:rFonts w:eastAsia="Calibri" w:cs="Times New Roman"/>
                <w:bCs/>
                <w:sz w:val="22"/>
                <w:szCs w:val="22"/>
                <w:lang w:eastAsia="en-US"/>
              </w:rPr>
              <w:t>;</w:t>
            </w:r>
          </w:p>
          <w:p w14:paraId="6F29BE16" w14:textId="07AD8389"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61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2F6E3C9E" w14:textId="029B6524"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45 (opłata w wys. 115 zł za taką strefę)</w:t>
            </w:r>
            <w:r>
              <w:rPr>
                <w:rFonts w:eastAsia="Calibri" w:cs="Times New Roman"/>
                <w:bCs/>
                <w:sz w:val="22"/>
                <w:szCs w:val="22"/>
                <w:lang w:eastAsia="en-US"/>
              </w:rPr>
              <w:t>;</w:t>
            </w:r>
          </w:p>
          <w:p w14:paraId="33183F28" w14:textId="1F0B3E20"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70 zł za taką strefę)</w:t>
            </w:r>
            <w:r>
              <w:rPr>
                <w:rFonts w:eastAsia="Calibri" w:cs="Times New Roman"/>
                <w:bCs/>
                <w:sz w:val="22"/>
                <w:szCs w:val="22"/>
                <w:lang w:eastAsia="en-US"/>
              </w:rPr>
              <w:t>;</w:t>
            </w:r>
          </w:p>
          <w:p w14:paraId="443BBF7E" w14:textId="77777777" w:rsidR="007532AB" w:rsidRPr="002551AA" w:rsidRDefault="007532AB" w:rsidP="007532AB">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15% wzrost w kolejnych latach. </w:t>
            </w:r>
          </w:p>
          <w:p w14:paraId="432E1612" w14:textId="77777777" w:rsidR="007532AB" w:rsidRPr="002551AA" w:rsidRDefault="007532AB" w:rsidP="007532AB">
            <w:pPr>
              <w:spacing w:before="120" w:after="120" w:line="240" w:lineRule="auto"/>
              <w:jc w:val="both"/>
              <w:rPr>
                <w:rFonts w:eastAsia="Calibri" w:cs="Times New Roman"/>
                <w:bCs/>
                <w:sz w:val="22"/>
                <w:szCs w:val="22"/>
                <w:lang w:eastAsia="en-US"/>
              </w:rPr>
            </w:pPr>
          </w:p>
          <w:p w14:paraId="5A118D73" w14:textId="77777777"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Zarządzający lotniskami użytku publicznego i lotniskami użytku wyłącznego:</w:t>
            </w:r>
          </w:p>
          <w:p w14:paraId="4D69C58D" w14:textId="5B562A7D" w:rsidR="007532AB" w:rsidRPr="002551AA" w:rsidRDefault="007532AB" w:rsidP="007532AB">
            <w:pPr>
              <w:widowControl/>
              <w:numPr>
                <w:ilvl w:val="0"/>
                <w:numId w:val="35"/>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64</w:t>
            </w:r>
            <w:r>
              <w:rPr>
                <w:rFonts w:eastAsia="Calibri" w:cs="Times New Roman"/>
                <w:bCs/>
                <w:sz w:val="22"/>
                <w:szCs w:val="22"/>
                <w:lang w:eastAsia="en-US"/>
              </w:rPr>
              <w:t>;</w:t>
            </w:r>
          </w:p>
          <w:p w14:paraId="6DCC8FF5" w14:textId="22ECB1E3"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w:t>
            </w:r>
            <w:r w:rsidR="00072270">
              <w:rPr>
                <w:rFonts w:eastAsia="Calibri" w:cs="Times New Roman"/>
                <w:bCs/>
                <w:sz w:val="22"/>
                <w:szCs w:val="22"/>
                <w:lang w:eastAsia="en-US"/>
              </w:rPr>
              <w:t>aczonych na podstawie wniosku o </w:t>
            </w:r>
            <w:r w:rsidRPr="002551AA">
              <w:rPr>
                <w:rFonts w:eastAsia="Calibri" w:cs="Times New Roman"/>
                <w:bCs/>
                <w:sz w:val="22"/>
                <w:szCs w:val="22"/>
                <w:lang w:eastAsia="en-US"/>
              </w:rPr>
              <w:t>wyznaczenie naraz 1-10 stref geograficznych dla BSP: 150 (opłata w wys. 350 zł za taką strefę)</w:t>
            </w:r>
            <w:r>
              <w:rPr>
                <w:rFonts w:eastAsia="Calibri" w:cs="Times New Roman"/>
                <w:bCs/>
                <w:sz w:val="22"/>
                <w:szCs w:val="22"/>
                <w:lang w:eastAsia="en-US"/>
              </w:rPr>
              <w:t>;</w:t>
            </w:r>
          </w:p>
          <w:p w14:paraId="5BBB8CC2" w14:textId="16069E8E"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40 (opłata w wys. 230 zł za taką strefę)</w:t>
            </w:r>
            <w:r>
              <w:rPr>
                <w:rFonts w:eastAsia="Calibri" w:cs="Times New Roman"/>
                <w:bCs/>
                <w:sz w:val="22"/>
                <w:szCs w:val="22"/>
                <w:lang w:eastAsia="en-US"/>
              </w:rPr>
              <w:t>;</w:t>
            </w:r>
          </w:p>
          <w:p w14:paraId="4513D7E7" w14:textId="179C8F5B"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50 (opłata w</w:t>
            </w:r>
            <w:r w:rsidR="00072270">
              <w:rPr>
                <w:rFonts w:eastAsia="Calibri" w:cs="Times New Roman"/>
                <w:bCs/>
                <w:sz w:val="22"/>
                <w:szCs w:val="22"/>
                <w:lang w:eastAsia="en-US"/>
              </w:rPr>
              <w:t> </w:t>
            </w:r>
            <w:r w:rsidRPr="002551AA">
              <w:rPr>
                <w:rFonts w:eastAsia="Calibri" w:cs="Times New Roman"/>
                <w:bCs/>
                <w:sz w:val="22"/>
                <w:szCs w:val="22"/>
                <w:lang w:eastAsia="en-US"/>
              </w:rPr>
              <w:t>wys. 140 zł za taką strefę)</w:t>
            </w:r>
            <w:r>
              <w:rPr>
                <w:rFonts w:eastAsia="Calibri" w:cs="Times New Roman"/>
                <w:bCs/>
                <w:sz w:val="22"/>
                <w:szCs w:val="22"/>
                <w:lang w:eastAsia="en-US"/>
              </w:rPr>
              <w:t>;</w:t>
            </w:r>
          </w:p>
          <w:p w14:paraId="254E8233" w14:textId="04954AB2"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90 (opłata w wys. 90 zł za taką strefę)</w:t>
            </w:r>
            <w:r>
              <w:rPr>
                <w:rFonts w:eastAsia="Calibri" w:cs="Times New Roman"/>
                <w:bCs/>
                <w:sz w:val="22"/>
                <w:szCs w:val="22"/>
                <w:lang w:eastAsia="en-US"/>
              </w:rPr>
              <w:t>;</w:t>
            </w:r>
          </w:p>
          <w:p w14:paraId="4FE5AABB" w14:textId="7D2A475B"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24 (opłata w wys. 70 zł za taką strefę)</w:t>
            </w:r>
            <w:r>
              <w:rPr>
                <w:rFonts w:eastAsia="Calibri" w:cs="Times New Roman"/>
                <w:bCs/>
                <w:sz w:val="22"/>
                <w:szCs w:val="22"/>
                <w:lang w:eastAsia="en-US"/>
              </w:rPr>
              <w:t>;</w:t>
            </w:r>
          </w:p>
          <w:p w14:paraId="38D3975C" w14:textId="7398EC10"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30 (opłata w wys. 35 zł za taką strefę)</w:t>
            </w:r>
            <w:r>
              <w:rPr>
                <w:rFonts w:eastAsia="Calibri" w:cs="Times New Roman"/>
                <w:bCs/>
                <w:sz w:val="22"/>
                <w:szCs w:val="22"/>
                <w:lang w:eastAsia="en-US"/>
              </w:rPr>
              <w:t>;</w:t>
            </w:r>
          </w:p>
          <w:p w14:paraId="28626C94" w14:textId="369754EC"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35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62EC4088" w14:textId="491F3557"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14 (opłata w wys. 115 zł za taką strefę)</w:t>
            </w:r>
            <w:r>
              <w:rPr>
                <w:rFonts w:eastAsia="Calibri" w:cs="Times New Roman"/>
                <w:bCs/>
                <w:sz w:val="22"/>
                <w:szCs w:val="22"/>
                <w:lang w:eastAsia="en-US"/>
              </w:rPr>
              <w:t>;</w:t>
            </w:r>
          </w:p>
          <w:p w14:paraId="1C748849" w14:textId="0934E2F1"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stref geograficznych dla BSP: 0 (opłata w wys. 70 zł za taką strefę)</w:t>
            </w:r>
            <w:r>
              <w:rPr>
                <w:rFonts w:eastAsia="Calibri" w:cs="Times New Roman"/>
                <w:bCs/>
                <w:sz w:val="22"/>
                <w:szCs w:val="22"/>
                <w:lang w:eastAsia="en-US"/>
              </w:rPr>
              <w:t>;</w:t>
            </w:r>
          </w:p>
          <w:p w14:paraId="3D9D1B0E" w14:textId="77777777" w:rsidR="007532AB" w:rsidRPr="002551AA" w:rsidRDefault="007532AB" w:rsidP="007532AB">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15% wzrost w kolejnych latach. </w:t>
            </w:r>
          </w:p>
          <w:p w14:paraId="4F23CD50" w14:textId="77777777" w:rsidR="007532AB" w:rsidRPr="002551AA" w:rsidRDefault="007532AB" w:rsidP="007532AB">
            <w:pPr>
              <w:widowControl/>
              <w:autoSpaceDE/>
              <w:autoSpaceDN/>
              <w:adjustRightInd/>
              <w:spacing w:before="120" w:after="120" w:line="240" w:lineRule="auto"/>
              <w:ind w:left="360"/>
              <w:contextualSpacing/>
              <w:jc w:val="both"/>
              <w:rPr>
                <w:rFonts w:eastAsia="Calibri" w:cs="Times New Roman"/>
                <w:bCs/>
                <w:sz w:val="22"/>
                <w:szCs w:val="22"/>
                <w:lang w:eastAsia="en-US"/>
              </w:rPr>
            </w:pPr>
          </w:p>
          <w:p w14:paraId="2B885F1D" w14:textId="77777777"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Podmioty górnicze:</w:t>
            </w:r>
          </w:p>
          <w:p w14:paraId="3907CC0D" w14:textId="77777777" w:rsidR="007532AB" w:rsidRPr="002551AA" w:rsidRDefault="007532AB" w:rsidP="007532AB">
            <w:pPr>
              <w:widowControl/>
              <w:numPr>
                <w:ilvl w:val="0"/>
                <w:numId w:val="36"/>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30</w:t>
            </w:r>
          </w:p>
          <w:p w14:paraId="7B2BDC45" w14:textId="7334DEE4"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1-10 stref geograficznych dla BSP: 65 (opłata w wys. 350 zł za taką strefę)</w:t>
            </w:r>
            <w:r>
              <w:rPr>
                <w:rFonts w:eastAsia="Calibri" w:cs="Times New Roman"/>
                <w:bCs/>
                <w:sz w:val="22"/>
                <w:szCs w:val="22"/>
                <w:lang w:eastAsia="en-US"/>
              </w:rPr>
              <w:t>;</w:t>
            </w:r>
          </w:p>
          <w:p w14:paraId="5CAE4331" w14:textId="00625AA2"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10 (opłata w wys. 230 zł za taką strefę)</w:t>
            </w:r>
            <w:r>
              <w:rPr>
                <w:rFonts w:eastAsia="Calibri" w:cs="Times New Roman"/>
                <w:bCs/>
                <w:sz w:val="22"/>
                <w:szCs w:val="22"/>
                <w:lang w:eastAsia="en-US"/>
              </w:rPr>
              <w:t>;</w:t>
            </w:r>
          </w:p>
          <w:p w14:paraId="2454A005" w14:textId="38154DBF"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140 zł za taką strefę)</w:t>
            </w:r>
            <w:r>
              <w:rPr>
                <w:rFonts w:eastAsia="Calibri" w:cs="Times New Roman"/>
                <w:bCs/>
                <w:sz w:val="22"/>
                <w:szCs w:val="22"/>
                <w:lang w:eastAsia="en-US"/>
              </w:rPr>
              <w:t>;</w:t>
            </w:r>
          </w:p>
          <w:p w14:paraId="5D8BA4E6" w14:textId="2CA88AA1"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39 (opłata w wys. 90 zł za taką strefę)</w:t>
            </w:r>
            <w:r>
              <w:rPr>
                <w:rFonts w:eastAsia="Calibri" w:cs="Times New Roman"/>
                <w:bCs/>
                <w:sz w:val="22"/>
                <w:szCs w:val="22"/>
                <w:lang w:eastAsia="en-US"/>
              </w:rPr>
              <w:t>;</w:t>
            </w:r>
          </w:p>
          <w:p w14:paraId="5141F787" w14:textId="773F981E"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6 (opłata w wys. 70 zł za taką strefę)</w:t>
            </w:r>
            <w:r>
              <w:rPr>
                <w:rFonts w:eastAsia="Calibri" w:cs="Times New Roman"/>
                <w:bCs/>
                <w:sz w:val="22"/>
                <w:szCs w:val="22"/>
                <w:lang w:eastAsia="en-US"/>
              </w:rPr>
              <w:t>;</w:t>
            </w:r>
          </w:p>
          <w:p w14:paraId="6AC1C610" w14:textId="7F3D355F"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35 zł za taką strefę)</w:t>
            </w:r>
            <w:r>
              <w:rPr>
                <w:rFonts w:eastAsia="Calibri" w:cs="Times New Roman"/>
                <w:bCs/>
                <w:sz w:val="22"/>
                <w:szCs w:val="22"/>
                <w:lang w:eastAsia="en-US"/>
              </w:rPr>
              <w:t>;</w:t>
            </w:r>
          </w:p>
          <w:p w14:paraId="26D853B8" w14:textId="62587DF2"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14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54106FA4" w14:textId="3EA023EE"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0 (opłata w wys. 115 zł za taką strefę)</w:t>
            </w:r>
            <w:r>
              <w:rPr>
                <w:rFonts w:eastAsia="Calibri" w:cs="Times New Roman"/>
                <w:bCs/>
                <w:sz w:val="22"/>
                <w:szCs w:val="22"/>
                <w:lang w:eastAsia="en-US"/>
              </w:rPr>
              <w:t>;</w:t>
            </w:r>
          </w:p>
          <w:p w14:paraId="1597D074" w14:textId="041B8480"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70 zł za taką strefę)</w:t>
            </w:r>
            <w:r>
              <w:rPr>
                <w:rFonts w:eastAsia="Calibri" w:cs="Times New Roman"/>
                <w:bCs/>
                <w:sz w:val="22"/>
                <w:szCs w:val="22"/>
                <w:lang w:eastAsia="en-US"/>
              </w:rPr>
              <w:t>;</w:t>
            </w:r>
          </w:p>
          <w:p w14:paraId="7C24BEDD" w14:textId="77777777" w:rsidR="007532AB" w:rsidRPr="002551AA" w:rsidRDefault="007532AB" w:rsidP="007532AB">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15% wzrost w kolejnych latach. </w:t>
            </w:r>
          </w:p>
          <w:p w14:paraId="28BB247D" w14:textId="77777777" w:rsidR="007532AB" w:rsidRPr="002551AA" w:rsidRDefault="007532AB" w:rsidP="007532AB">
            <w:pPr>
              <w:spacing w:before="120" w:after="120" w:line="240" w:lineRule="auto"/>
              <w:jc w:val="both"/>
              <w:rPr>
                <w:rFonts w:eastAsia="Calibri" w:cs="Times New Roman"/>
                <w:bCs/>
                <w:sz w:val="22"/>
                <w:szCs w:val="22"/>
                <w:lang w:eastAsia="en-US"/>
              </w:rPr>
            </w:pPr>
          </w:p>
          <w:p w14:paraId="2E73A129" w14:textId="77777777"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Zarządzający portami lub przystaniami morskimi:</w:t>
            </w:r>
          </w:p>
          <w:p w14:paraId="33A403EF" w14:textId="77777777" w:rsidR="007532AB" w:rsidRPr="002551AA" w:rsidRDefault="007532AB" w:rsidP="007532AB">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81</w:t>
            </w:r>
          </w:p>
          <w:p w14:paraId="3637B3F4" w14:textId="5A7856A3" w:rsidR="007532AB" w:rsidRPr="002551AA" w:rsidRDefault="007532AB" w:rsidP="007532AB">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1-10 stref geograficznych dla BSP: 155 (opłata w wys. 350 zł za taką strefę)</w:t>
            </w:r>
            <w:r>
              <w:rPr>
                <w:rFonts w:eastAsia="Calibri" w:cs="Times New Roman"/>
                <w:bCs/>
                <w:sz w:val="22"/>
                <w:szCs w:val="22"/>
                <w:lang w:eastAsia="en-US"/>
              </w:rPr>
              <w:t>;</w:t>
            </w:r>
          </w:p>
          <w:p w14:paraId="11FF6019" w14:textId="78B8D8BE" w:rsidR="007532AB" w:rsidRPr="002551AA" w:rsidRDefault="007532AB" w:rsidP="007532AB">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50 (opłata w wys. 230 zł za taką strefę)</w:t>
            </w:r>
            <w:r>
              <w:rPr>
                <w:rFonts w:eastAsia="Calibri" w:cs="Times New Roman"/>
                <w:bCs/>
                <w:sz w:val="22"/>
                <w:szCs w:val="22"/>
                <w:lang w:eastAsia="en-US"/>
              </w:rPr>
              <w:t>;</w:t>
            </w:r>
          </w:p>
          <w:p w14:paraId="0D166B5D" w14:textId="147FD0E1" w:rsidR="007532AB" w:rsidRPr="002551AA" w:rsidRDefault="007532AB" w:rsidP="007532AB">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140 zł za taką strefę)</w:t>
            </w:r>
            <w:r>
              <w:rPr>
                <w:rFonts w:eastAsia="Calibri" w:cs="Times New Roman"/>
                <w:bCs/>
                <w:sz w:val="22"/>
                <w:szCs w:val="22"/>
                <w:lang w:eastAsia="en-US"/>
              </w:rPr>
              <w:t>;</w:t>
            </w:r>
          </w:p>
          <w:p w14:paraId="30217ED1" w14:textId="6E349F29" w:rsidR="007532AB" w:rsidRPr="002551AA" w:rsidRDefault="007532AB" w:rsidP="007532AB">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93 (opłata w wys. 90 zł za taką strefę)</w:t>
            </w:r>
            <w:r>
              <w:rPr>
                <w:rFonts w:eastAsia="Calibri" w:cs="Times New Roman"/>
                <w:bCs/>
                <w:sz w:val="22"/>
                <w:szCs w:val="22"/>
                <w:lang w:eastAsia="en-US"/>
              </w:rPr>
              <w:t>;</w:t>
            </w:r>
          </w:p>
          <w:p w14:paraId="100ADBF7" w14:textId="303001A8" w:rsidR="007532AB" w:rsidRPr="002551AA" w:rsidRDefault="007532AB" w:rsidP="007532AB">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30 (opłata w wys. 70 zł za taką strefę)</w:t>
            </w:r>
            <w:r>
              <w:rPr>
                <w:rFonts w:eastAsia="Calibri" w:cs="Times New Roman"/>
                <w:bCs/>
                <w:sz w:val="22"/>
                <w:szCs w:val="22"/>
                <w:lang w:eastAsia="en-US"/>
              </w:rPr>
              <w:t>;</w:t>
            </w:r>
          </w:p>
          <w:p w14:paraId="0BA54383" w14:textId="62A4235C" w:rsidR="007532AB" w:rsidRPr="002551AA" w:rsidRDefault="007532AB" w:rsidP="007532AB">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35 zł za taką strefę)</w:t>
            </w:r>
            <w:r>
              <w:rPr>
                <w:rFonts w:eastAsia="Calibri" w:cs="Times New Roman"/>
                <w:bCs/>
                <w:sz w:val="22"/>
                <w:szCs w:val="22"/>
                <w:lang w:eastAsia="en-US"/>
              </w:rPr>
              <w:t>;</w:t>
            </w:r>
          </w:p>
          <w:p w14:paraId="5E1BB594" w14:textId="36AA2717" w:rsidR="007532AB" w:rsidRPr="002551AA" w:rsidRDefault="007532AB" w:rsidP="007532AB">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38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6811E96C" w14:textId="794B1349" w:rsidR="007532AB" w:rsidRPr="002551AA" w:rsidRDefault="007532AB" w:rsidP="007532AB">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0 (opłata w wys. 115 zł za taką strefę)</w:t>
            </w:r>
            <w:r>
              <w:rPr>
                <w:rFonts w:eastAsia="Calibri" w:cs="Times New Roman"/>
                <w:bCs/>
                <w:sz w:val="22"/>
                <w:szCs w:val="22"/>
                <w:lang w:eastAsia="en-US"/>
              </w:rPr>
              <w:t>;</w:t>
            </w:r>
          </w:p>
          <w:p w14:paraId="1234BB57" w14:textId="4BE83CEC" w:rsidR="007532AB" w:rsidRPr="002551AA" w:rsidRDefault="007532AB" w:rsidP="007532AB">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70 zł za taką strefę)</w:t>
            </w:r>
            <w:r>
              <w:rPr>
                <w:rFonts w:eastAsia="Calibri" w:cs="Times New Roman"/>
                <w:bCs/>
                <w:sz w:val="22"/>
                <w:szCs w:val="22"/>
                <w:lang w:eastAsia="en-US"/>
              </w:rPr>
              <w:t>;</w:t>
            </w:r>
          </w:p>
          <w:p w14:paraId="0C03A9B0" w14:textId="77777777" w:rsidR="007532AB" w:rsidRPr="002551AA" w:rsidRDefault="007532AB" w:rsidP="007532AB">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15% wzrost w kolejnych latach. </w:t>
            </w:r>
          </w:p>
          <w:p w14:paraId="03917771" w14:textId="77777777" w:rsidR="007532AB" w:rsidRPr="002551AA" w:rsidRDefault="007532AB" w:rsidP="007532AB">
            <w:pPr>
              <w:spacing w:before="120" w:after="120" w:line="240" w:lineRule="auto"/>
              <w:jc w:val="both"/>
              <w:rPr>
                <w:rFonts w:eastAsia="Calibri" w:cs="Times New Roman"/>
                <w:bCs/>
                <w:sz w:val="22"/>
                <w:szCs w:val="22"/>
                <w:lang w:eastAsia="en-US"/>
              </w:rPr>
            </w:pPr>
          </w:p>
          <w:p w14:paraId="7E9FEDDB" w14:textId="37BCD3E4"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Pr>
                <w:rFonts w:eastAsia="Calibri" w:cs="Times New Roman"/>
                <w:bCs/>
                <w:sz w:val="22"/>
                <w:szCs w:val="22"/>
                <w:lang w:eastAsia="en-US"/>
              </w:rPr>
              <w:t>Przedsiębiorstwa</w:t>
            </w:r>
            <w:r w:rsidRPr="002551AA">
              <w:rPr>
                <w:rFonts w:eastAsia="Calibri" w:cs="Times New Roman"/>
                <w:bCs/>
                <w:sz w:val="22"/>
                <w:szCs w:val="22"/>
                <w:lang w:eastAsia="en-US"/>
              </w:rPr>
              <w:t xml:space="preserve"> energetyczne:</w:t>
            </w:r>
          </w:p>
          <w:p w14:paraId="1A955309" w14:textId="77777777" w:rsidR="007532AB" w:rsidRPr="002551AA" w:rsidRDefault="007532AB" w:rsidP="007532AB">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15</w:t>
            </w:r>
          </w:p>
          <w:p w14:paraId="6D9F5370" w14:textId="2A07C80A" w:rsidR="007532AB" w:rsidRPr="002551AA" w:rsidRDefault="007532AB" w:rsidP="007532AB">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1-10 stref geograficznych dla BSP:</w:t>
            </w:r>
            <w:r>
              <w:rPr>
                <w:rFonts w:eastAsia="Calibri" w:cs="Times New Roman"/>
                <w:bCs/>
                <w:sz w:val="22"/>
                <w:szCs w:val="22"/>
                <w:lang w:eastAsia="en-US"/>
              </w:rPr>
              <w:t xml:space="preserve"> </w:t>
            </w:r>
            <w:r w:rsidRPr="002551AA">
              <w:rPr>
                <w:rFonts w:eastAsia="Calibri" w:cs="Times New Roman"/>
                <w:bCs/>
                <w:sz w:val="22"/>
                <w:szCs w:val="22"/>
                <w:lang w:eastAsia="en-US"/>
              </w:rPr>
              <w:t>105 (opłata w wys. 350 zł za taką strefę)</w:t>
            </w:r>
            <w:r>
              <w:rPr>
                <w:rFonts w:eastAsia="Calibri" w:cs="Times New Roman"/>
                <w:bCs/>
                <w:sz w:val="22"/>
                <w:szCs w:val="22"/>
                <w:lang w:eastAsia="en-US"/>
              </w:rPr>
              <w:t>;</w:t>
            </w:r>
          </w:p>
          <w:p w14:paraId="1450E15B" w14:textId="02FD15E8" w:rsidR="007532AB" w:rsidRPr="002551AA" w:rsidRDefault="007532AB" w:rsidP="007532AB">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100 (opłata w wys. 230 zł za taką strefę)</w:t>
            </w:r>
            <w:r>
              <w:rPr>
                <w:rFonts w:eastAsia="Calibri" w:cs="Times New Roman"/>
                <w:bCs/>
                <w:sz w:val="22"/>
                <w:szCs w:val="22"/>
                <w:lang w:eastAsia="en-US"/>
              </w:rPr>
              <w:t>;</w:t>
            </w:r>
          </w:p>
          <w:p w14:paraId="7DE228A9" w14:textId="17F47B04" w:rsidR="007532AB" w:rsidRPr="002551AA" w:rsidRDefault="007532AB" w:rsidP="007532AB">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140 zł za taką strefę)</w:t>
            </w:r>
            <w:r>
              <w:rPr>
                <w:rFonts w:eastAsia="Calibri" w:cs="Times New Roman"/>
                <w:bCs/>
                <w:sz w:val="22"/>
                <w:szCs w:val="22"/>
                <w:lang w:eastAsia="en-US"/>
              </w:rPr>
              <w:t>;</w:t>
            </w:r>
          </w:p>
          <w:p w14:paraId="683EDBF8" w14:textId="5D446226" w:rsidR="007532AB" w:rsidRPr="002551AA" w:rsidRDefault="007532AB" w:rsidP="007532AB">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63 (opłata w wys. 90 zł za taką strefę)</w:t>
            </w:r>
            <w:r>
              <w:rPr>
                <w:rFonts w:eastAsia="Calibri" w:cs="Times New Roman"/>
                <w:bCs/>
                <w:sz w:val="22"/>
                <w:szCs w:val="22"/>
                <w:lang w:eastAsia="en-US"/>
              </w:rPr>
              <w:t>;</w:t>
            </w:r>
          </w:p>
          <w:p w14:paraId="4E89AD9B" w14:textId="32AC1E27" w:rsidR="007532AB" w:rsidRPr="002551AA" w:rsidRDefault="007532AB" w:rsidP="007532AB">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60 (opłata w wys. 70 zł za taką strefę)</w:t>
            </w:r>
            <w:r>
              <w:rPr>
                <w:rFonts w:eastAsia="Calibri" w:cs="Times New Roman"/>
                <w:bCs/>
                <w:sz w:val="22"/>
                <w:szCs w:val="22"/>
                <w:lang w:eastAsia="en-US"/>
              </w:rPr>
              <w:t>;</w:t>
            </w:r>
          </w:p>
          <w:p w14:paraId="12D5FE76" w14:textId="38F8779C" w:rsidR="007532AB" w:rsidRPr="002551AA" w:rsidRDefault="007532AB" w:rsidP="007532AB">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35 zł za taką strefę)</w:t>
            </w:r>
            <w:r>
              <w:rPr>
                <w:rFonts w:eastAsia="Calibri" w:cs="Times New Roman"/>
                <w:bCs/>
                <w:sz w:val="22"/>
                <w:szCs w:val="22"/>
                <w:lang w:eastAsia="en-US"/>
              </w:rPr>
              <w:t>;</w:t>
            </w:r>
          </w:p>
          <w:p w14:paraId="368F9E9A" w14:textId="1EDB217B" w:rsidR="007532AB" w:rsidRPr="002551AA" w:rsidRDefault="007532AB" w:rsidP="007532AB">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21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3EC45A74" w14:textId="3F4BB2F4" w:rsidR="007532AB" w:rsidRPr="002551AA" w:rsidRDefault="007532AB" w:rsidP="007532AB">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20 (opłata w wys. 115 zł za taką strefę)</w:t>
            </w:r>
            <w:r>
              <w:rPr>
                <w:rFonts w:eastAsia="Calibri" w:cs="Times New Roman"/>
                <w:bCs/>
                <w:sz w:val="22"/>
                <w:szCs w:val="22"/>
                <w:lang w:eastAsia="en-US"/>
              </w:rPr>
              <w:t>;</w:t>
            </w:r>
          </w:p>
          <w:p w14:paraId="0DCEEC2F" w14:textId="006716AA" w:rsidR="007532AB" w:rsidRPr="002551AA" w:rsidRDefault="007532AB" w:rsidP="007532AB">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70 zł za taką strefę)</w:t>
            </w:r>
            <w:r>
              <w:rPr>
                <w:rFonts w:eastAsia="Calibri" w:cs="Times New Roman"/>
                <w:bCs/>
                <w:sz w:val="22"/>
                <w:szCs w:val="22"/>
                <w:lang w:eastAsia="en-US"/>
              </w:rPr>
              <w:t>;</w:t>
            </w:r>
          </w:p>
          <w:p w14:paraId="56478AF5" w14:textId="77777777" w:rsidR="007532AB" w:rsidRPr="002551AA" w:rsidRDefault="007532AB" w:rsidP="007532AB">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15% wzrost w kolejnych latach. </w:t>
            </w:r>
          </w:p>
          <w:p w14:paraId="11AAC893" w14:textId="77777777" w:rsidR="007532AB" w:rsidRPr="002551AA" w:rsidRDefault="007532AB" w:rsidP="007532AB">
            <w:pPr>
              <w:spacing w:before="120" w:after="120" w:line="240" w:lineRule="auto"/>
              <w:jc w:val="both"/>
              <w:rPr>
                <w:rFonts w:eastAsia="Calibri" w:cs="Times New Roman"/>
                <w:bCs/>
                <w:sz w:val="22"/>
                <w:szCs w:val="22"/>
                <w:lang w:eastAsia="en-US"/>
              </w:rPr>
            </w:pPr>
          </w:p>
          <w:p w14:paraId="5FDD74A2" w14:textId="77777777"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Podmioty kolejowe:</w:t>
            </w:r>
          </w:p>
          <w:p w14:paraId="4EB6549F" w14:textId="77777777" w:rsidR="007532AB" w:rsidRPr="002551AA" w:rsidRDefault="007532AB" w:rsidP="007532AB">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15</w:t>
            </w:r>
          </w:p>
          <w:p w14:paraId="43D9320D" w14:textId="45C67E59" w:rsidR="007532AB" w:rsidRPr="002551AA" w:rsidRDefault="007532AB" w:rsidP="007532AB">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1-10 stref geograficznych dla BSP: 150 (opłata w wys. 350 zł za taką strefę)</w:t>
            </w:r>
            <w:r>
              <w:rPr>
                <w:rFonts w:eastAsia="Calibri" w:cs="Times New Roman"/>
                <w:bCs/>
                <w:sz w:val="22"/>
                <w:szCs w:val="22"/>
                <w:lang w:eastAsia="en-US"/>
              </w:rPr>
              <w:t>;</w:t>
            </w:r>
          </w:p>
          <w:p w14:paraId="7E61F1D6" w14:textId="6FFF00B5" w:rsidR="007532AB" w:rsidRPr="002551AA" w:rsidRDefault="007532AB" w:rsidP="007532AB">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10 (opłata w wys. 230 zł za taką strefę)</w:t>
            </w:r>
            <w:r>
              <w:rPr>
                <w:rFonts w:eastAsia="Calibri" w:cs="Times New Roman"/>
                <w:bCs/>
                <w:sz w:val="22"/>
                <w:szCs w:val="22"/>
                <w:lang w:eastAsia="en-US"/>
              </w:rPr>
              <w:t>;</w:t>
            </w:r>
          </w:p>
          <w:p w14:paraId="0E87AC23" w14:textId="50DA6407" w:rsidR="007532AB" w:rsidRPr="002551AA" w:rsidRDefault="007532AB" w:rsidP="007532AB">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140 zł za taką strefę)</w:t>
            </w:r>
            <w:r>
              <w:rPr>
                <w:rFonts w:eastAsia="Calibri" w:cs="Times New Roman"/>
                <w:bCs/>
                <w:sz w:val="22"/>
                <w:szCs w:val="22"/>
                <w:lang w:eastAsia="en-US"/>
              </w:rPr>
              <w:t>;</w:t>
            </w:r>
          </w:p>
          <w:p w14:paraId="05E364E7" w14:textId="0BAE72ED" w:rsidR="007532AB" w:rsidRPr="002551AA" w:rsidRDefault="007532AB" w:rsidP="007532AB">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90 (opłata w wys. 90 zł za taką strefę)</w:t>
            </w:r>
            <w:r>
              <w:rPr>
                <w:rFonts w:eastAsia="Calibri" w:cs="Times New Roman"/>
                <w:bCs/>
                <w:sz w:val="22"/>
                <w:szCs w:val="22"/>
                <w:lang w:eastAsia="en-US"/>
              </w:rPr>
              <w:t>;</w:t>
            </w:r>
          </w:p>
          <w:p w14:paraId="7FA2AF81" w14:textId="2742E59D" w:rsidR="007532AB" w:rsidRPr="002551AA" w:rsidRDefault="007532AB" w:rsidP="007532AB">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6 (opłata w wys. 70 zł za taką strefę)</w:t>
            </w:r>
            <w:r>
              <w:rPr>
                <w:rFonts w:eastAsia="Calibri" w:cs="Times New Roman"/>
                <w:bCs/>
                <w:sz w:val="22"/>
                <w:szCs w:val="22"/>
                <w:lang w:eastAsia="en-US"/>
              </w:rPr>
              <w:t>;</w:t>
            </w:r>
          </w:p>
          <w:p w14:paraId="1F33F3E8" w14:textId="6EE4866A" w:rsidR="007532AB" w:rsidRPr="002551AA" w:rsidRDefault="007532AB" w:rsidP="007532AB">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35 zł za taką strefę)</w:t>
            </w:r>
            <w:r>
              <w:rPr>
                <w:rFonts w:eastAsia="Calibri" w:cs="Times New Roman"/>
                <w:bCs/>
                <w:sz w:val="22"/>
                <w:szCs w:val="22"/>
                <w:lang w:eastAsia="en-US"/>
              </w:rPr>
              <w:t>;</w:t>
            </w:r>
          </w:p>
          <w:p w14:paraId="2720D17E" w14:textId="59A2BA54" w:rsidR="007532AB" w:rsidRPr="002551AA" w:rsidRDefault="007532AB" w:rsidP="007532AB">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32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311189D1" w14:textId="7CF607BE" w:rsidR="007532AB" w:rsidRPr="002551AA" w:rsidRDefault="007532AB" w:rsidP="007532AB">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0 (opłata w wys. 115 zł za taką strefę)</w:t>
            </w:r>
            <w:r>
              <w:rPr>
                <w:rFonts w:eastAsia="Calibri" w:cs="Times New Roman"/>
                <w:bCs/>
                <w:sz w:val="22"/>
                <w:szCs w:val="22"/>
                <w:lang w:eastAsia="en-US"/>
              </w:rPr>
              <w:t>;</w:t>
            </w:r>
          </w:p>
          <w:p w14:paraId="08E0F5DD" w14:textId="5454BB54" w:rsidR="007532AB" w:rsidRPr="002551AA" w:rsidRDefault="007532AB" w:rsidP="007532AB">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70 zł za taką strefę)</w:t>
            </w:r>
            <w:r>
              <w:rPr>
                <w:rFonts w:eastAsia="Calibri" w:cs="Times New Roman"/>
                <w:bCs/>
                <w:sz w:val="22"/>
                <w:szCs w:val="22"/>
                <w:lang w:eastAsia="en-US"/>
              </w:rPr>
              <w:t>;</w:t>
            </w:r>
          </w:p>
          <w:p w14:paraId="71F213EB" w14:textId="672BD9B8" w:rsidR="007532AB" w:rsidRDefault="007532AB" w:rsidP="007532AB">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15% wzrost w kolejnych latach.</w:t>
            </w:r>
          </w:p>
          <w:p w14:paraId="14DAC84B" w14:textId="77777777" w:rsidR="007532AB" w:rsidRPr="00082647" w:rsidRDefault="007532AB" w:rsidP="007532AB">
            <w:pPr>
              <w:widowControl/>
              <w:autoSpaceDE/>
              <w:autoSpaceDN/>
              <w:adjustRightInd/>
              <w:spacing w:before="120" w:after="120" w:line="240" w:lineRule="auto"/>
              <w:ind w:left="696"/>
              <w:jc w:val="both"/>
              <w:rPr>
                <w:rFonts w:eastAsia="Calibri" w:cs="Times New Roman"/>
                <w:bCs/>
                <w:sz w:val="22"/>
                <w:szCs w:val="22"/>
                <w:lang w:eastAsia="en-US"/>
              </w:rPr>
            </w:pPr>
          </w:p>
          <w:p w14:paraId="407C5D37" w14:textId="77777777" w:rsidR="007532AB" w:rsidRPr="002551AA" w:rsidRDefault="007532AB" w:rsidP="007532AB">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Dowódca Operacyjny Rodzajów Sił Zbrojnych, Komendant Główny Żandarmerii Wojskowej, Szef Szefostwa Służb Ruchu Lotniczego Sił Zbrojnych Rzeczypospolitej Polskiej, Szef Agencji Bezpieczeństwa Wewnętrznego, Szef Agencji Wywiadu, Komendant Główny Policji, Komendant Główny Straży Granicznej, Szef Krajowej Administracji Skarbowej, Komendant Służby Ochrony Państwa, Komendant Główny Państwowej Straży Pożarnej, Dyrektor Rządowego Centrum Bezpieczeństwa, Szef Centralnego Biura Antykorupcyjnego, Szef Służby Kontrwywiadu Wojskowego, Szef Służby Wywiadu Wojskowego, właściwi ministrowie, kierownicy urzędów centralnych, Przewodniczący PKBWL:</w:t>
            </w:r>
          </w:p>
          <w:p w14:paraId="6ACC9018" w14:textId="77777777" w:rsidR="007532AB" w:rsidRPr="002551AA" w:rsidRDefault="007532AB" w:rsidP="007532AB">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38</w:t>
            </w:r>
          </w:p>
          <w:p w14:paraId="44C0D60A" w14:textId="299E6429" w:rsidR="007532AB" w:rsidRPr="002551AA" w:rsidRDefault="007532AB" w:rsidP="007532AB">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1-10 stref geograficznych dla BSP: 460 (opłata w wys. 350 zł za taką strefę)</w:t>
            </w:r>
            <w:r>
              <w:rPr>
                <w:rFonts w:eastAsia="Calibri" w:cs="Times New Roman"/>
                <w:bCs/>
                <w:sz w:val="22"/>
                <w:szCs w:val="22"/>
                <w:lang w:eastAsia="en-US"/>
              </w:rPr>
              <w:t>;</w:t>
            </w:r>
          </w:p>
          <w:p w14:paraId="34E01812" w14:textId="21503671" w:rsidR="007532AB" w:rsidRPr="002551AA" w:rsidRDefault="007532AB" w:rsidP="007532AB">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11-49 stref geograficznych dla BSP: 200 (opłata w wys. 230 zł za taką strefę)</w:t>
            </w:r>
            <w:r>
              <w:rPr>
                <w:rFonts w:eastAsia="Calibri" w:cs="Times New Roman"/>
                <w:bCs/>
                <w:sz w:val="22"/>
                <w:szCs w:val="22"/>
                <w:lang w:eastAsia="en-US"/>
              </w:rPr>
              <w:t>;</w:t>
            </w:r>
          </w:p>
          <w:p w14:paraId="14084D99" w14:textId="4CB4AB40" w:rsidR="007532AB" w:rsidRPr="002551AA" w:rsidRDefault="007532AB" w:rsidP="007532AB">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100 (opłata w</w:t>
            </w:r>
            <w:r w:rsidR="00072270">
              <w:rPr>
                <w:rFonts w:eastAsia="Calibri" w:cs="Times New Roman"/>
                <w:bCs/>
                <w:sz w:val="22"/>
                <w:szCs w:val="22"/>
                <w:lang w:eastAsia="en-US"/>
              </w:rPr>
              <w:t> </w:t>
            </w:r>
            <w:r w:rsidRPr="002551AA">
              <w:rPr>
                <w:rFonts w:eastAsia="Calibri" w:cs="Times New Roman"/>
                <w:bCs/>
                <w:sz w:val="22"/>
                <w:szCs w:val="22"/>
                <w:lang w:eastAsia="en-US"/>
              </w:rPr>
              <w:t>wys. 140 zł za taką strefę)</w:t>
            </w:r>
            <w:r>
              <w:rPr>
                <w:rFonts w:eastAsia="Calibri" w:cs="Times New Roman"/>
                <w:bCs/>
                <w:sz w:val="22"/>
                <w:szCs w:val="22"/>
                <w:lang w:eastAsia="en-US"/>
              </w:rPr>
              <w:t>;</w:t>
            </w:r>
          </w:p>
          <w:p w14:paraId="1D959F01" w14:textId="4E021323" w:rsidR="007532AB" w:rsidRPr="002551AA" w:rsidRDefault="007532AB" w:rsidP="007532AB">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1-10 stref geograficznych dla BSP: 276 (opłata w wys. 90 zł za taką strefę)</w:t>
            </w:r>
            <w:r>
              <w:rPr>
                <w:rFonts w:eastAsia="Calibri" w:cs="Times New Roman"/>
                <w:bCs/>
                <w:sz w:val="22"/>
                <w:szCs w:val="22"/>
                <w:lang w:eastAsia="en-US"/>
              </w:rPr>
              <w:t>;</w:t>
            </w:r>
          </w:p>
          <w:p w14:paraId="1001BA97" w14:textId="569F7371" w:rsidR="007532AB" w:rsidRPr="002551AA" w:rsidRDefault="007532AB" w:rsidP="007532AB">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120 (opłata w wys. 70 zł za taką strefę)</w:t>
            </w:r>
            <w:r>
              <w:rPr>
                <w:rFonts w:eastAsia="Calibri" w:cs="Times New Roman"/>
                <w:bCs/>
                <w:sz w:val="22"/>
                <w:szCs w:val="22"/>
                <w:lang w:eastAsia="en-US"/>
              </w:rPr>
              <w:t>;</w:t>
            </w:r>
          </w:p>
          <w:p w14:paraId="2D5FE270" w14:textId="448611E5" w:rsidR="007532AB" w:rsidRPr="002551AA" w:rsidRDefault="007532AB" w:rsidP="007532AB">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60 (opłata w wys. 35 zł za taką strefę)</w:t>
            </w:r>
            <w:r>
              <w:rPr>
                <w:rFonts w:eastAsia="Calibri" w:cs="Times New Roman"/>
                <w:bCs/>
                <w:sz w:val="22"/>
                <w:szCs w:val="22"/>
                <w:lang w:eastAsia="en-US"/>
              </w:rPr>
              <w:t>;</w:t>
            </w:r>
          </w:p>
          <w:p w14:paraId="527EA346" w14:textId="0E3BC3F2" w:rsidR="007532AB" w:rsidRPr="002551AA" w:rsidRDefault="007532AB" w:rsidP="007532AB">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1-10 stref geograficznych dla BSP: 92 (opłata w</w:t>
            </w:r>
            <w:r w:rsidR="00072270">
              <w:rPr>
                <w:rFonts w:eastAsia="Calibri" w:cs="Times New Roman"/>
                <w:bCs/>
                <w:sz w:val="22"/>
                <w:szCs w:val="22"/>
                <w:lang w:eastAsia="en-US"/>
              </w:rPr>
              <w:t> </w:t>
            </w:r>
            <w:r w:rsidRPr="002551AA">
              <w:rPr>
                <w:rFonts w:eastAsia="Calibri" w:cs="Times New Roman"/>
                <w:bCs/>
                <w:sz w:val="22"/>
                <w:szCs w:val="22"/>
                <w:lang w:eastAsia="en-US"/>
              </w:rPr>
              <w:t>wys. 170 zł za taką strefę)</w:t>
            </w:r>
            <w:r>
              <w:rPr>
                <w:rFonts w:eastAsia="Calibri" w:cs="Times New Roman"/>
                <w:bCs/>
                <w:sz w:val="22"/>
                <w:szCs w:val="22"/>
                <w:lang w:eastAsia="en-US"/>
              </w:rPr>
              <w:t>;</w:t>
            </w:r>
          </w:p>
          <w:p w14:paraId="5F4AA44C" w14:textId="53A6BF9F" w:rsidR="007532AB" w:rsidRPr="002551AA" w:rsidRDefault="007532AB" w:rsidP="007532AB">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11-49 stref geograficznych dla BSP: 40 (opłata w wys. 115 zł za taką strefę)</w:t>
            </w:r>
            <w:r>
              <w:rPr>
                <w:rFonts w:eastAsia="Calibri" w:cs="Times New Roman"/>
                <w:bCs/>
                <w:sz w:val="22"/>
                <w:szCs w:val="22"/>
                <w:lang w:eastAsia="en-US"/>
              </w:rPr>
              <w:t>;</w:t>
            </w:r>
          </w:p>
          <w:p w14:paraId="4D8DD8B7" w14:textId="75FE603F" w:rsidR="007532AB" w:rsidRPr="002551AA" w:rsidRDefault="007532AB" w:rsidP="007532AB">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Ponownych wyznaczeni stref geograficznych dla BSP na podstawie wniosku o</w:t>
            </w:r>
            <w:r w:rsidR="00072270">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50 (opłata w wys. 70 zł za taką strefę)</w:t>
            </w:r>
            <w:r>
              <w:rPr>
                <w:rFonts w:eastAsia="Calibri" w:cs="Times New Roman"/>
                <w:bCs/>
                <w:sz w:val="22"/>
                <w:szCs w:val="22"/>
                <w:lang w:eastAsia="en-US"/>
              </w:rPr>
              <w:t>;</w:t>
            </w:r>
          </w:p>
          <w:p w14:paraId="55BFCDE7" w14:textId="77777777" w:rsidR="007532AB" w:rsidRPr="002551AA" w:rsidRDefault="007532AB" w:rsidP="007532AB">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5% wzrost w kolejnych latach. </w:t>
            </w:r>
          </w:p>
          <w:bookmarkEnd w:id="7"/>
          <w:p w14:paraId="04724FBF" w14:textId="421A8A38" w:rsidR="007532AB" w:rsidRDefault="007532AB" w:rsidP="007532AB">
            <w:pPr>
              <w:widowControl/>
              <w:autoSpaceDE/>
              <w:adjustRightInd/>
              <w:spacing w:before="120" w:after="120" w:line="240" w:lineRule="auto"/>
              <w:jc w:val="both"/>
              <w:rPr>
                <w:rFonts w:eastAsia="Calibri" w:cs="Times New Roman"/>
                <w:bCs/>
                <w:sz w:val="22"/>
                <w:szCs w:val="22"/>
                <w:lang w:eastAsia="en-US"/>
              </w:rPr>
            </w:pPr>
            <w:r w:rsidRPr="008F695A">
              <w:rPr>
                <w:rFonts w:eastAsia="Calibri" w:cs="Times New Roman"/>
                <w:bCs/>
                <w:sz w:val="22"/>
                <w:szCs w:val="22"/>
                <w:lang w:eastAsia="en-US"/>
              </w:rPr>
              <w:t xml:space="preserve">W odniesieniu do stref geograficznych dla BSP, o których mowa w art. </w:t>
            </w:r>
            <w:r>
              <w:rPr>
                <w:rFonts w:eastAsia="Calibri" w:cs="Times New Roman"/>
                <w:bCs/>
                <w:sz w:val="22"/>
                <w:szCs w:val="22"/>
                <w:lang w:eastAsia="en-US"/>
              </w:rPr>
              <w:t>23</w:t>
            </w:r>
            <w:r w:rsidRPr="008F695A">
              <w:rPr>
                <w:rFonts w:eastAsia="Calibri" w:cs="Times New Roman"/>
                <w:bCs/>
                <w:sz w:val="22"/>
                <w:szCs w:val="22"/>
                <w:lang w:eastAsia="en-US"/>
              </w:rPr>
              <w:t xml:space="preserve"> oraz w art. 156h ust. 2 projektu regulacji, tj. utworzonych w obszarach elastycznych elementów przestrzeni powietrznej, należy zauważyć, że nie założono konieczności obejmowania wnioskiem ich utworzenia, przedłużenia lub ponownego wyznaczenia, a co za tym idzie – konieczności wnoszenia opłat na rzecz PAŻP</w:t>
            </w:r>
            <w:r w:rsidR="00072270">
              <w:rPr>
                <w:rFonts w:eastAsia="Calibri" w:cs="Times New Roman"/>
                <w:bCs/>
                <w:sz w:val="22"/>
                <w:szCs w:val="22"/>
                <w:lang w:eastAsia="en-US"/>
              </w:rPr>
              <w:t xml:space="preserve"> z tytułu wniosków w tym zakresie</w:t>
            </w:r>
            <w:r w:rsidRPr="008F695A">
              <w:rPr>
                <w:rFonts w:eastAsia="Calibri" w:cs="Times New Roman"/>
                <w:bCs/>
                <w:sz w:val="22"/>
                <w:szCs w:val="22"/>
                <w:lang w:eastAsia="en-US"/>
              </w:rPr>
              <w:t>. Wynika to stąd, że czynności organizacyjne i materialno-techniczne podejmowane przez PAŻP, a zmierzające do wprowadzenia w życie zakazu lub ograniczenia lotów nad obszarem całego państwa albo jego części wykonywane są w związku z</w:t>
            </w:r>
            <w:r w:rsidR="00072270">
              <w:rPr>
                <w:rFonts w:eastAsia="Calibri" w:cs="Times New Roman"/>
                <w:bCs/>
                <w:sz w:val="22"/>
                <w:szCs w:val="22"/>
                <w:lang w:eastAsia="en-US"/>
              </w:rPr>
              <w:t> </w:t>
            </w:r>
            <w:r w:rsidRPr="008F695A">
              <w:rPr>
                <w:rFonts w:eastAsia="Calibri" w:cs="Times New Roman"/>
                <w:bCs/>
                <w:sz w:val="22"/>
                <w:szCs w:val="22"/>
                <w:lang w:eastAsia="en-US"/>
              </w:rPr>
              <w:t xml:space="preserve">publicznoprawnym zadaniem scedowanym na PAŻP, o którym w </w:t>
            </w:r>
            <w:r w:rsidR="00072270">
              <w:rPr>
                <w:rFonts w:eastAsia="Calibri" w:cs="Times New Roman"/>
                <w:bCs/>
                <w:sz w:val="22"/>
                <w:szCs w:val="22"/>
                <w:lang w:eastAsia="en-US"/>
              </w:rPr>
              <w:t>art.</w:t>
            </w:r>
            <w:r w:rsidRPr="008F695A">
              <w:rPr>
                <w:rFonts w:eastAsia="Calibri" w:cs="Times New Roman"/>
                <w:bCs/>
                <w:sz w:val="22"/>
                <w:szCs w:val="22"/>
                <w:lang w:eastAsia="en-US"/>
              </w:rPr>
              <w:t xml:space="preserve"> 4 </w:t>
            </w:r>
            <w:r w:rsidR="00072270">
              <w:rPr>
                <w:rFonts w:eastAsia="Calibri" w:cs="Times New Roman"/>
                <w:bCs/>
                <w:sz w:val="22"/>
                <w:szCs w:val="22"/>
                <w:lang w:eastAsia="en-US"/>
              </w:rPr>
              <w:t>r</w:t>
            </w:r>
            <w:r w:rsidRPr="008F695A">
              <w:rPr>
                <w:rFonts w:eastAsia="Calibri" w:cs="Times New Roman"/>
                <w:bCs/>
                <w:sz w:val="22"/>
                <w:szCs w:val="22"/>
                <w:lang w:eastAsia="en-US"/>
              </w:rPr>
              <w:t>ozporządzenia Komisji (WE) nr 2150/2005 z dnia 23 grudnia 2005 r. ustanawiającego wspólne zasady elastycznego użytkowania przestrzeni powietrznej i nie rodzą one dodatkowych kosztów, które należałoby wyrównać przychodem z opłat. Obowiązek ten realizowany jest w</w:t>
            </w:r>
            <w:r w:rsidR="00072270">
              <w:rPr>
                <w:rFonts w:eastAsia="Calibri" w:cs="Times New Roman"/>
                <w:bCs/>
                <w:sz w:val="22"/>
                <w:szCs w:val="22"/>
                <w:lang w:eastAsia="en-US"/>
              </w:rPr>
              <w:t> </w:t>
            </w:r>
            <w:r w:rsidRPr="008F695A">
              <w:rPr>
                <w:rFonts w:eastAsia="Calibri" w:cs="Times New Roman"/>
                <w:bCs/>
                <w:sz w:val="22"/>
                <w:szCs w:val="22"/>
                <w:lang w:eastAsia="en-US"/>
              </w:rPr>
              <w:t>rzeczonym zakresie przez ASM-1, tj. zespół PAŻP odpowiedzialny za strategiczne zarządzanie przestrzenią powietrzną. ASM-1 wyznaczając strukturę dla lotnictwa załogowego wykonuje znaczną większość nakładu pracy potrzebnego do utworzenia strefy geograficznej dla BSP znajdującej się w jej obszarze. Z kolei koszt pracy zespołu ASM-1 pokrywany jest w całości z własnych przychodów PAŻP, o których w art. 9 ust. 1 ustawy o PAŻP</w:t>
            </w:r>
            <w:r w:rsidR="00072270">
              <w:rPr>
                <w:rFonts w:eastAsia="Calibri" w:cs="Times New Roman"/>
                <w:bCs/>
                <w:sz w:val="22"/>
                <w:szCs w:val="22"/>
                <w:lang w:eastAsia="en-US"/>
              </w:rPr>
              <w:t>,</w:t>
            </w:r>
            <w:r w:rsidRPr="008F695A">
              <w:rPr>
                <w:rFonts w:eastAsia="Calibri" w:cs="Times New Roman"/>
                <w:bCs/>
                <w:sz w:val="22"/>
                <w:szCs w:val="22"/>
                <w:lang w:eastAsia="en-US"/>
              </w:rPr>
              <w:t xml:space="preserve"> co nie wiąże się z dodatkowymi wydatkami dla sektora finansów publicznych związanymi z wprowadzeniem niniejszej regulacji. Powyżej opisane działania nie rodzą zatem konieczności uwzględniania ich przy wyznaczaniu wysokości opłat, oraz – ogólniej – w niniejszej ocenie skutków regulacji.</w:t>
            </w:r>
          </w:p>
          <w:p w14:paraId="413D43A8" w14:textId="65DEAEFF" w:rsidR="007532AB" w:rsidRDefault="007532AB" w:rsidP="007532AB">
            <w:pPr>
              <w:widowControl/>
              <w:autoSpaceDE/>
              <w:adjustRightInd/>
              <w:spacing w:before="120" w:after="120" w:line="240" w:lineRule="auto"/>
              <w:ind w:left="88"/>
              <w:jc w:val="both"/>
              <w:rPr>
                <w:rFonts w:eastAsia="Calibri" w:cs="Times New Roman"/>
                <w:b/>
                <w:bCs/>
                <w:sz w:val="22"/>
                <w:szCs w:val="22"/>
                <w:lang w:eastAsia="en-US"/>
              </w:rPr>
            </w:pPr>
            <w:r w:rsidRPr="00C6331E">
              <w:rPr>
                <w:rFonts w:eastAsia="Calibri" w:cs="Times New Roman"/>
                <w:b/>
                <w:bCs/>
                <w:sz w:val="22"/>
                <w:szCs w:val="22"/>
                <w:lang w:eastAsia="en-US"/>
              </w:rPr>
              <w:t>2.2. Wydatki</w:t>
            </w:r>
          </w:p>
          <w:p w14:paraId="2AEC5CA8" w14:textId="39AE1676" w:rsidR="007532AB" w:rsidRPr="008E4D88" w:rsidRDefault="007532AB" w:rsidP="007532AB">
            <w:pPr>
              <w:widowControl/>
              <w:autoSpaceDE/>
              <w:adjustRightInd/>
              <w:spacing w:before="120" w:after="120" w:line="240" w:lineRule="auto"/>
              <w:ind w:left="88"/>
              <w:jc w:val="both"/>
              <w:rPr>
                <w:rFonts w:eastAsia="Calibri" w:cs="Times New Roman"/>
                <w:bCs/>
                <w:sz w:val="22"/>
                <w:szCs w:val="22"/>
                <w:lang w:eastAsia="en-US"/>
              </w:rPr>
            </w:pPr>
            <w:r w:rsidRPr="004547D4">
              <w:rPr>
                <w:rFonts w:eastAsia="Calibri" w:cs="Times New Roman"/>
                <w:bCs/>
                <w:sz w:val="22"/>
                <w:szCs w:val="22"/>
                <w:lang w:eastAsia="en-US"/>
              </w:rPr>
              <w:t>Pobierane przez PAŻP opłaty za czynności związane z wyznaczeniem stref geograficznych dla BSP odzwierciedlają ponoszone przez PAŻP koszty osobowe na ich realizację</w:t>
            </w:r>
            <w:r>
              <w:t xml:space="preserve"> </w:t>
            </w:r>
            <w:r w:rsidRPr="00D9149E">
              <w:rPr>
                <w:rFonts w:eastAsia="Calibri" w:cs="Times New Roman"/>
                <w:bCs/>
                <w:sz w:val="22"/>
                <w:szCs w:val="22"/>
                <w:lang w:eastAsia="en-US"/>
              </w:rPr>
              <w:t>oraz koszty stworzenia i utrzymania systemu informatycznego do automatyzacji podejmowanych czynności roboczych</w:t>
            </w:r>
            <w:r w:rsidRPr="004547D4">
              <w:rPr>
                <w:rFonts w:eastAsia="Calibri" w:cs="Times New Roman"/>
                <w:bCs/>
                <w:sz w:val="22"/>
                <w:szCs w:val="22"/>
                <w:lang w:eastAsia="en-US"/>
              </w:rPr>
              <w:t xml:space="preserve">. </w:t>
            </w:r>
          </w:p>
          <w:p w14:paraId="6759C328" w14:textId="6967E54E" w:rsidR="007532AB" w:rsidRDefault="007532AB" w:rsidP="007532AB">
            <w:pPr>
              <w:widowControl/>
              <w:autoSpaceDE/>
              <w:adjustRightInd/>
              <w:spacing w:before="120" w:after="120" w:line="240" w:lineRule="auto"/>
              <w:ind w:left="88"/>
              <w:jc w:val="both"/>
              <w:rPr>
                <w:rFonts w:eastAsia="Calibri" w:cs="Times New Roman"/>
                <w:bCs/>
                <w:sz w:val="22"/>
                <w:szCs w:val="22"/>
                <w:lang w:eastAsia="en-US"/>
              </w:rPr>
            </w:pPr>
            <w:r>
              <w:rPr>
                <w:rFonts w:eastAsia="Calibri" w:cs="Times New Roman"/>
                <w:bCs/>
                <w:sz w:val="22"/>
                <w:szCs w:val="22"/>
                <w:lang w:eastAsia="en-US"/>
              </w:rPr>
              <w:t>Pracochłonność i koszty wyposażenia stanowiska</w:t>
            </w:r>
            <w:r w:rsidRPr="007902F2">
              <w:rPr>
                <w:rFonts w:eastAsia="Calibri" w:cs="Times New Roman"/>
                <w:bCs/>
                <w:sz w:val="22"/>
                <w:szCs w:val="22"/>
                <w:lang w:eastAsia="en-US"/>
              </w:rPr>
              <w:t xml:space="preserve"> na 1 etat</w:t>
            </w:r>
            <w:r>
              <w:rPr>
                <w:rFonts w:eastAsia="Calibri" w:cs="Times New Roman"/>
                <w:bCs/>
                <w:sz w:val="22"/>
                <w:szCs w:val="22"/>
                <w:lang w:eastAsia="en-US"/>
              </w:rPr>
              <w:t xml:space="preserve"> (1 FTE)</w:t>
            </w:r>
            <w:r w:rsidRPr="007902F2">
              <w:rPr>
                <w:rFonts w:eastAsia="Calibri" w:cs="Times New Roman"/>
                <w:bCs/>
                <w:sz w:val="22"/>
                <w:szCs w:val="22"/>
                <w:lang w:eastAsia="en-US"/>
              </w:rPr>
              <w:t xml:space="preserve">, </w:t>
            </w:r>
            <w:r>
              <w:rPr>
                <w:rFonts w:eastAsia="Calibri" w:cs="Times New Roman"/>
                <w:bCs/>
                <w:sz w:val="22"/>
                <w:szCs w:val="22"/>
                <w:lang w:eastAsia="en-US"/>
              </w:rPr>
              <w:t>dotyczą</w:t>
            </w:r>
            <w:r w:rsidRPr="007902F2">
              <w:rPr>
                <w:rFonts w:eastAsia="Calibri" w:cs="Times New Roman"/>
                <w:bCs/>
                <w:sz w:val="22"/>
                <w:szCs w:val="22"/>
                <w:lang w:eastAsia="en-US"/>
              </w:rPr>
              <w:t xml:space="preserve"> zespołu pracowników PAŻP zatrudnionych dla potrzeb realizacji ww. czynności.  Obejmują one zarówno zaangażowanie zasobów osobowych (m.in. ekspert ds.</w:t>
            </w:r>
            <w:r>
              <w:rPr>
                <w:rFonts w:eastAsia="Calibri" w:cs="Times New Roman"/>
                <w:bCs/>
                <w:sz w:val="22"/>
                <w:szCs w:val="22"/>
                <w:lang w:eastAsia="en-US"/>
              </w:rPr>
              <w:t xml:space="preserve"> BSP,</w:t>
            </w:r>
            <w:r w:rsidRPr="007902F2">
              <w:rPr>
                <w:rFonts w:eastAsia="Calibri" w:cs="Times New Roman"/>
                <w:bCs/>
                <w:sz w:val="22"/>
                <w:szCs w:val="22"/>
                <w:lang w:eastAsia="en-US"/>
              </w:rPr>
              <w:t xml:space="preserve"> ds. </w:t>
            </w:r>
            <w:r>
              <w:rPr>
                <w:rFonts w:eastAsia="Calibri" w:cs="Times New Roman"/>
                <w:bCs/>
                <w:sz w:val="22"/>
                <w:szCs w:val="22"/>
                <w:lang w:eastAsia="en-US"/>
              </w:rPr>
              <w:t>IT</w:t>
            </w:r>
            <w:r w:rsidRPr="007902F2">
              <w:rPr>
                <w:rFonts w:eastAsia="Calibri" w:cs="Times New Roman"/>
                <w:bCs/>
                <w:sz w:val="22"/>
                <w:szCs w:val="22"/>
                <w:lang w:eastAsia="en-US"/>
              </w:rPr>
              <w:t>,</w:t>
            </w:r>
            <w:r>
              <w:rPr>
                <w:rFonts w:eastAsia="Calibri" w:cs="Times New Roman"/>
                <w:bCs/>
                <w:sz w:val="22"/>
                <w:szCs w:val="22"/>
                <w:lang w:eastAsia="en-US"/>
              </w:rPr>
              <w:t xml:space="preserve"> </w:t>
            </w:r>
            <w:r w:rsidRPr="00F429E4">
              <w:rPr>
                <w:rFonts w:eastAsia="Calibri" w:cs="Times New Roman"/>
                <w:bCs/>
                <w:sz w:val="22"/>
                <w:szCs w:val="22"/>
                <w:lang w:eastAsia="en-US"/>
              </w:rPr>
              <w:t>wsparcie - obsługa administracyjna, prawna i finansowa</w:t>
            </w:r>
            <w:r w:rsidRPr="007902F2">
              <w:rPr>
                <w:rFonts w:eastAsia="Calibri" w:cs="Times New Roman"/>
                <w:bCs/>
                <w:sz w:val="22"/>
                <w:szCs w:val="22"/>
                <w:lang w:eastAsia="en-US"/>
              </w:rPr>
              <w:t xml:space="preserve">), jak i rzeczowych </w:t>
            </w:r>
            <w:r>
              <w:rPr>
                <w:rFonts w:eastAsia="Calibri" w:cs="Times New Roman"/>
                <w:bCs/>
                <w:sz w:val="22"/>
                <w:szCs w:val="22"/>
                <w:lang w:eastAsia="en-US"/>
              </w:rPr>
              <w:t>PAŻP</w:t>
            </w:r>
            <w:r w:rsidRPr="007902F2">
              <w:rPr>
                <w:rFonts w:eastAsia="Calibri" w:cs="Times New Roman"/>
                <w:bCs/>
                <w:sz w:val="22"/>
                <w:szCs w:val="22"/>
                <w:lang w:eastAsia="en-US"/>
              </w:rPr>
              <w:t xml:space="preserve"> (m.in. oprogramowanie, przesy</w:t>
            </w:r>
            <w:r>
              <w:rPr>
                <w:rFonts w:eastAsia="Calibri" w:cs="Times New Roman"/>
                <w:bCs/>
                <w:sz w:val="22"/>
                <w:szCs w:val="22"/>
                <w:lang w:eastAsia="en-US"/>
              </w:rPr>
              <w:t>łanie</w:t>
            </w:r>
            <w:r w:rsidRPr="007902F2">
              <w:rPr>
                <w:rFonts w:eastAsia="Calibri" w:cs="Times New Roman"/>
                <w:bCs/>
                <w:sz w:val="22"/>
                <w:szCs w:val="22"/>
                <w:lang w:eastAsia="en-US"/>
              </w:rPr>
              <w:t xml:space="preserve"> danych, chmura, serwery, sprzęt komputerowy, itp.).</w:t>
            </w:r>
            <w:r>
              <w:rPr>
                <w:rFonts w:eastAsia="Calibri" w:cs="Times New Roman"/>
                <w:bCs/>
                <w:sz w:val="22"/>
                <w:szCs w:val="22"/>
                <w:lang w:eastAsia="en-US"/>
              </w:rPr>
              <w:t xml:space="preserve"> Przyjęto średni koszt pracodawcy 1 FTE na ww. stanowiskach na kwotę 15 740 zł, które jawią się jako rynkowe i korespondują tak z obowiązującym w PAŻP regulaminem wynagradzania, jak i z jej doświadczeniami związanymi z realizacją podobnych projektów.</w:t>
            </w:r>
          </w:p>
          <w:p w14:paraId="49270EC4" w14:textId="382BD580" w:rsidR="007532AB"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Rozpatrzenie wniosku o wyznaczenie nowej strefy geograficznej dla BSP wyniesie 0,5h FTE.</w:t>
            </w:r>
          </w:p>
          <w:p w14:paraId="513DCC1E" w14:textId="3F53A2F3" w:rsidR="007532AB"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w:t>
            </w:r>
            <w:r w:rsidRPr="007F6125">
              <w:rPr>
                <w:rFonts w:eastAsia="Calibri" w:cs="Times New Roman"/>
                <w:bCs/>
                <w:sz w:val="22"/>
                <w:szCs w:val="22"/>
                <w:lang w:eastAsia="en-US"/>
              </w:rPr>
              <w:t>yznaczenie nowej strefy geograficznej</w:t>
            </w:r>
            <w:r>
              <w:rPr>
                <w:rFonts w:eastAsia="Calibri" w:cs="Times New Roman"/>
                <w:bCs/>
                <w:sz w:val="22"/>
                <w:szCs w:val="22"/>
                <w:lang w:eastAsia="en-US"/>
              </w:rPr>
              <w:t xml:space="preserve"> </w:t>
            </w:r>
            <w:r w:rsidRPr="007F6125">
              <w:rPr>
                <w:rFonts w:eastAsia="Calibri" w:cs="Times New Roman"/>
                <w:bCs/>
                <w:sz w:val="22"/>
                <w:szCs w:val="22"/>
                <w:lang w:eastAsia="en-US"/>
              </w:rPr>
              <w:t>dla BSP</w:t>
            </w:r>
            <w:r>
              <w:rPr>
                <w:rFonts w:eastAsia="Calibri" w:cs="Times New Roman"/>
                <w:bCs/>
                <w:sz w:val="22"/>
                <w:szCs w:val="22"/>
                <w:lang w:eastAsia="en-US"/>
              </w:rPr>
              <w:t xml:space="preserve"> (1-10)</w:t>
            </w:r>
            <w:r w:rsidRPr="007F6125">
              <w:rPr>
                <w:rFonts w:eastAsia="Calibri" w:cs="Times New Roman"/>
                <w:bCs/>
                <w:sz w:val="22"/>
                <w:szCs w:val="22"/>
                <w:lang w:eastAsia="en-US"/>
              </w:rPr>
              <w:t xml:space="preserve"> wyniesie</w:t>
            </w:r>
            <w:r>
              <w:rPr>
                <w:rFonts w:eastAsia="Calibri" w:cs="Times New Roman"/>
                <w:bCs/>
                <w:sz w:val="22"/>
                <w:szCs w:val="22"/>
                <w:lang w:eastAsia="en-US"/>
              </w:rPr>
              <w:t xml:space="preserve"> średnio: 2h FTE.</w:t>
            </w:r>
          </w:p>
          <w:p w14:paraId="75593F5B" w14:textId="21189E16" w:rsidR="007532AB" w:rsidRPr="008E4D88"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w:t>
            </w:r>
            <w:r w:rsidRPr="007F6125">
              <w:rPr>
                <w:rFonts w:eastAsia="Calibri" w:cs="Times New Roman"/>
                <w:bCs/>
                <w:sz w:val="22"/>
                <w:szCs w:val="22"/>
                <w:lang w:eastAsia="en-US"/>
              </w:rPr>
              <w:t>yznaczenie nowej strefy geograficznej</w:t>
            </w:r>
            <w:r>
              <w:rPr>
                <w:rFonts w:eastAsia="Calibri" w:cs="Times New Roman"/>
                <w:bCs/>
                <w:sz w:val="22"/>
                <w:szCs w:val="22"/>
                <w:lang w:eastAsia="en-US"/>
              </w:rPr>
              <w:t xml:space="preserve"> </w:t>
            </w:r>
            <w:r w:rsidRPr="007F6125">
              <w:rPr>
                <w:rFonts w:eastAsia="Calibri" w:cs="Times New Roman"/>
                <w:bCs/>
                <w:sz w:val="22"/>
                <w:szCs w:val="22"/>
                <w:lang w:eastAsia="en-US"/>
              </w:rPr>
              <w:t>dla BSP</w:t>
            </w:r>
            <w:r>
              <w:rPr>
                <w:rFonts w:eastAsia="Calibri" w:cs="Times New Roman"/>
                <w:bCs/>
                <w:sz w:val="22"/>
                <w:szCs w:val="22"/>
                <w:lang w:eastAsia="en-US"/>
              </w:rPr>
              <w:t xml:space="preserve"> (11-49)</w:t>
            </w:r>
            <w:r w:rsidRPr="007F6125">
              <w:rPr>
                <w:rFonts w:eastAsia="Calibri" w:cs="Times New Roman"/>
                <w:bCs/>
                <w:sz w:val="22"/>
                <w:szCs w:val="22"/>
                <w:lang w:eastAsia="en-US"/>
              </w:rPr>
              <w:t xml:space="preserve"> wyniesie</w:t>
            </w:r>
            <w:r>
              <w:rPr>
                <w:rFonts w:eastAsia="Calibri" w:cs="Times New Roman"/>
                <w:bCs/>
                <w:sz w:val="22"/>
                <w:szCs w:val="22"/>
                <w:lang w:eastAsia="en-US"/>
              </w:rPr>
              <w:t xml:space="preserve"> </w:t>
            </w:r>
            <w:r w:rsidRPr="007F6125">
              <w:rPr>
                <w:rFonts w:eastAsia="Calibri" w:cs="Times New Roman"/>
                <w:bCs/>
                <w:sz w:val="22"/>
                <w:szCs w:val="22"/>
                <w:lang w:eastAsia="en-US"/>
              </w:rPr>
              <w:t>średnio:</w:t>
            </w:r>
            <w:r>
              <w:rPr>
                <w:rFonts w:eastAsia="Calibri" w:cs="Times New Roman"/>
                <w:bCs/>
                <w:sz w:val="22"/>
                <w:szCs w:val="22"/>
                <w:lang w:eastAsia="en-US"/>
              </w:rPr>
              <w:t xml:space="preserve"> 0,66h FTE,</w:t>
            </w:r>
          </w:p>
          <w:p w14:paraId="1FB30FC1" w14:textId="5669779F" w:rsidR="007532AB" w:rsidRPr="008E4D88"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 xml:space="preserve">Wyznaczenie nowej strefy geograficznej dla BSP </w:t>
            </w:r>
            <w:r>
              <w:rPr>
                <w:rFonts w:eastAsia="Calibri" w:cs="Times New Roman"/>
                <w:bCs/>
                <w:sz w:val="22"/>
                <w:szCs w:val="22"/>
                <w:lang w:eastAsia="en-US"/>
              </w:rPr>
              <w:t>(powyżej 49</w:t>
            </w:r>
            <w:r w:rsidRPr="007F6125">
              <w:rPr>
                <w:rFonts w:eastAsia="Calibri" w:cs="Times New Roman"/>
                <w:bCs/>
                <w:sz w:val="22"/>
                <w:szCs w:val="22"/>
                <w:lang w:eastAsia="en-US"/>
              </w:rPr>
              <w:t>) wyniesie</w:t>
            </w:r>
            <w:r>
              <w:rPr>
                <w:rFonts w:eastAsia="Calibri" w:cs="Times New Roman"/>
                <w:bCs/>
                <w:sz w:val="22"/>
                <w:szCs w:val="22"/>
                <w:lang w:eastAsia="en-US"/>
              </w:rPr>
              <w:t xml:space="preserve"> </w:t>
            </w:r>
            <w:r w:rsidRPr="007F6125">
              <w:rPr>
                <w:rFonts w:eastAsia="Calibri" w:cs="Times New Roman"/>
                <w:bCs/>
                <w:sz w:val="22"/>
                <w:szCs w:val="22"/>
                <w:lang w:eastAsia="en-US"/>
              </w:rPr>
              <w:t>średnio</w:t>
            </w:r>
            <w:r>
              <w:rPr>
                <w:rFonts w:eastAsia="Calibri" w:cs="Times New Roman"/>
                <w:bCs/>
                <w:sz w:val="22"/>
                <w:szCs w:val="22"/>
                <w:lang w:eastAsia="en-US"/>
              </w:rPr>
              <w:t>: 0,4h FTE.</w:t>
            </w:r>
          </w:p>
          <w:p w14:paraId="38145EC3" w14:textId="4C16FD04" w:rsidR="007532AB"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Przedłuże</w:t>
            </w:r>
            <w:r>
              <w:rPr>
                <w:rFonts w:eastAsia="Calibri" w:cs="Times New Roman"/>
                <w:bCs/>
                <w:sz w:val="22"/>
                <w:szCs w:val="22"/>
                <w:lang w:eastAsia="en-US"/>
              </w:rPr>
              <w:t>nie</w:t>
            </w:r>
            <w:r w:rsidRPr="007F6125">
              <w:rPr>
                <w:rFonts w:eastAsia="Calibri" w:cs="Times New Roman"/>
                <w:bCs/>
                <w:sz w:val="22"/>
                <w:szCs w:val="22"/>
                <w:lang w:eastAsia="en-US"/>
              </w:rPr>
              <w:t xml:space="preserve"> obowiązywania stref</w:t>
            </w:r>
            <w:r>
              <w:rPr>
                <w:rFonts w:eastAsia="Calibri" w:cs="Times New Roman"/>
                <w:bCs/>
                <w:sz w:val="22"/>
                <w:szCs w:val="22"/>
                <w:lang w:eastAsia="en-US"/>
              </w:rPr>
              <w:t>y</w:t>
            </w:r>
            <w:r w:rsidRPr="007F6125">
              <w:rPr>
                <w:rFonts w:eastAsia="Calibri" w:cs="Times New Roman"/>
                <w:bCs/>
                <w:sz w:val="22"/>
                <w:szCs w:val="22"/>
                <w:lang w:eastAsia="en-US"/>
              </w:rPr>
              <w:t xml:space="preserve"> geograficzn</w:t>
            </w:r>
            <w:r>
              <w:rPr>
                <w:rFonts w:eastAsia="Calibri" w:cs="Times New Roman"/>
                <w:bCs/>
                <w:sz w:val="22"/>
                <w:szCs w:val="22"/>
                <w:lang w:eastAsia="en-US"/>
              </w:rPr>
              <w:t>ej</w:t>
            </w:r>
            <w:r w:rsidRPr="007F6125">
              <w:rPr>
                <w:rFonts w:eastAsia="Calibri" w:cs="Times New Roman"/>
                <w:bCs/>
                <w:sz w:val="22"/>
                <w:szCs w:val="22"/>
                <w:lang w:eastAsia="en-US"/>
              </w:rPr>
              <w:t xml:space="preserve"> dla BSP</w:t>
            </w:r>
            <w:r>
              <w:rPr>
                <w:rFonts w:eastAsia="Calibri" w:cs="Times New Roman"/>
                <w:bCs/>
                <w:sz w:val="22"/>
                <w:szCs w:val="22"/>
                <w:lang w:eastAsia="en-US"/>
              </w:rPr>
              <w:t xml:space="preserve"> (1-10) wyniesie</w:t>
            </w:r>
            <w:r>
              <w:t xml:space="preserve"> </w:t>
            </w:r>
            <w:r w:rsidRPr="007F6125">
              <w:rPr>
                <w:rFonts w:eastAsia="Calibri" w:cs="Times New Roman"/>
                <w:bCs/>
                <w:sz w:val="22"/>
                <w:szCs w:val="22"/>
                <w:lang w:eastAsia="en-US"/>
              </w:rPr>
              <w:t>średnio</w:t>
            </w:r>
            <w:r>
              <w:rPr>
                <w:rFonts w:eastAsia="Calibri" w:cs="Times New Roman"/>
                <w:bCs/>
                <w:sz w:val="22"/>
                <w:szCs w:val="22"/>
                <w:lang w:eastAsia="en-US"/>
              </w:rPr>
              <w:t>: 0,26h FTE.</w:t>
            </w:r>
          </w:p>
          <w:p w14:paraId="114269E7" w14:textId="4684816A" w:rsidR="007532AB" w:rsidRPr="008E4D88"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Przedłuże</w:t>
            </w:r>
            <w:r>
              <w:rPr>
                <w:rFonts w:eastAsia="Calibri" w:cs="Times New Roman"/>
                <w:bCs/>
                <w:sz w:val="22"/>
                <w:szCs w:val="22"/>
                <w:lang w:eastAsia="en-US"/>
              </w:rPr>
              <w:t>nie</w:t>
            </w:r>
            <w:r w:rsidRPr="007F6125">
              <w:rPr>
                <w:rFonts w:eastAsia="Calibri" w:cs="Times New Roman"/>
                <w:bCs/>
                <w:sz w:val="22"/>
                <w:szCs w:val="22"/>
                <w:lang w:eastAsia="en-US"/>
              </w:rPr>
              <w:t xml:space="preserve"> obowiązywania stref</w:t>
            </w:r>
            <w:r>
              <w:rPr>
                <w:rFonts w:eastAsia="Calibri" w:cs="Times New Roman"/>
                <w:bCs/>
                <w:sz w:val="22"/>
                <w:szCs w:val="22"/>
                <w:lang w:eastAsia="en-US"/>
              </w:rPr>
              <w:t>y</w:t>
            </w:r>
            <w:r w:rsidRPr="007F6125">
              <w:rPr>
                <w:rFonts w:eastAsia="Calibri" w:cs="Times New Roman"/>
                <w:bCs/>
                <w:sz w:val="22"/>
                <w:szCs w:val="22"/>
                <w:lang w:eastAsia="en-US"/>
              </w:rPr>
              <w:t xml:space="preserve"> geograficzn</w:t>
            </w:r>
            <w:r>
              <w:rPr>
                <w:rFonts w:eastAsia="Calibri" w:cs="Times New Roman"/>
                <w:bCs/>
                <w:sz w:val="22"/>
                <w:szCs w:val="22"/>
                <w:lang w:eastAsia="en-US"/>
              </w:rPr>
              <w:t>ej</w:t>
            </w:r>
            <w:r w:rsidRPr="007F6125">
              <w:rPr>
                <w:rFonts w:eastAsia="Calibri" w:cs="Times New Roman"/>
                <w:bCs/>
                <w:sz w:val="22"/>
                <w:szCs w:val="22"/>
                <w:lang w:eastAsia="en-US"/>
              </w:rPr>
              <w:t xml:space="preserve"> dla BSP</w:t>
            </w:r>
            <w:r>
              <w:rPr>
                <w:rFonts w:eastAsia="Calibri" w:cs="Times New Roman"/>
                <w:bCs/>
                <w:sz w:val="22"/>
                <w:szCs w:val="22"/>
                <w:lang w:eastAsia="en-US"/>
              </w:rPr>
              <w:t xml:space="preserve"> (11-49) wyniesie </w:t>
            </w:r>
            <w:r w:rsidRPr="007F6125">
              <w:rPr>
                <w:rFonts w:eastAsia="Calibri" w:cs="Times New Roman"/>
                <w:bCs/>
                <w:sz w:val="22"/>
                <w:szCs w:val="22"/>
                <w:lang w:eastAsia="en-US"/>
              </w:rPr>
              <w:t>średnio</w:t>
            </w:r>
            <w:r>
              <w:rPr>
                <w:rFonts w:eastAsia="Calibri" w:cs="Times New Roman"/>
                <w:bCs/>
                <w:sz w:val="22"/>
                <w:szCs w:val="22"/>
                <w:lang w:eastAsia="en-US"/>
              </w:rPr>
              <w:t>: 0,2h FTE.</w:t>
            </w:r>
          </w:p>
          <w:p w14:paraId="31809334" w14:textId="5BC1A72B" w:rsidR="007532AB" w:rsidRPr="008E4D88"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Przedłuże</w:t>
            </w:r>
            <w:r>
              <w:rPr>
                <w:rFonts w:eastAsia="Calibri" w:cs="Times New Roman"/>
                <w:bCs/>
                <w:sz w:val="22"/>
                <w:szCs w:val="22"/>
                <w:lang w:eastAsia="en-US"/>
              </w:rPr>
              <w:t>nie</w:t>
            </w:r>
            <w:r w:rsidRPr="007F6125">
              <w:rPr>
                <w:rFonts w:eastAsia="Calibri" w:cs="Times New Roman"/>
                <w:bCs/>
                <w:sz w:val="22"/>
                <w:szCs w:val="22"/>
                <w:lang w:eastAsia="en-US"/>
              </w:rPr>
              <w:t xml:space="preserve"> obowiązywania stref</w:t>
            </w:r>
            <w:r>
              <w:rPr>
                <w:rFonts w:eastAsia="Calibri" w:cs="Times New Roman"/>
                <w:bCs/>
                <w:sz w:val="22"/>
                <w:szCs w:val="22"/>
                <w:lang w:eastAsia="en-US"/>
              </w:rPr>
              <w:t>y</w:t>
            </w:r>
            <w:r w:rsidRPr="007F6125">
              <w:rPr>
                <w:rFonts w:eastAsia="Calibri" w:cs="Times New Roman"/>
                <w:bCs/>
                <w:sz w:val="22"/>
                <w:szCs w:val="22"/>
                <w:lang w:eastAsia="en-US"/>
              </w:rPr>
              <w:t xml:space="preserve"> geograficzn</w:t>
            </w:r>
            <w:r>
              <w:rPr>
                <w:rFonts w:eastAsia="Calibri" w:cs="Times New Roman"/>
                <w:bCs/>
                <w:sz w:val="22"/>
                <w:szCs w:val="22"/>
                <w:lang w:eastAsia="en-US"/>
              </w:rPr>
              <w:t>ej</w:t>
            </w:r>
            <w:r w:rsidRPr="007F6125">
              <w:rPr>
                <w:rFonts w:eastAsia="Calibri" w:cs="Times New Roman"/>
                <w:bCs/>
                <w:sz w:val="22"/>
                <w:szCs w:val="22"/>
                <w:lang w:eastAsia="en-US"/>
              </w:rPr>
              <w:t xml:space="preserve"> dla BSP</w:t>
            </w:r>
            <w:r>
              <w:rPr>
                <w:rFonts w:eastAsia="Calibri" w:cs="Times New Roman"/>
                <w:bCs/>
                <w:sz w:val="22"/>
                <w:szCs w:val="22"/>
                <w:lang w:eastAsia="en-US"/>
              </w:rPr>
              <w:t xml:space="preserve"> (powyżej 49) wyniesie </w:t>
            </w:r>
            <w:r w:rsidRPr="007F6125">
              <w:rPr>
                <w:rFonts w:eastAsia="Calibri" w:cs="Times New Roman"/>
                <w:bCs/>
                <w:sz w:val="22"/>
                <w:szCs w:val="22"/>
                <w:lang w:eastAsia="en-US"/>
              </w:rPr>
              <w:t>średnio</w:t>
            </w:r>
            <w:r>
              <w:rPr>
                <w:rFonts w:eastAsia="Calibri" w:cs="Times New Roman"/>
                <w:bCs/>
                <w:sz w:val="22"/>
                <w:szCs w:val="22"/>
                <w:lang w:eastAsia="en-US"/>
              </w:rPr>
              <w:t>: 0,1h FTE.</w:t>
            </w:r>
          </w:p>
          <w:p w14:paraId="43B866B1" w14:textId="3623C6AD" w:rsidR="007532AB"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Ponowne wyznaczenie strefy geograficznej dla BSP (1-10) wyniesie</w:t>
            </w:r>
            <w:r>
              <w:t xml:space="preserve"> </w:t>
            </w:r>
            <w:r w:rsidRPr="007F6125">
              <w:rPr>
                <w:rFonts w:eastAsia="Calibri" w:cs="Times New Roman"/>
                <w:bCs/>
                <w:sz w:val="22"/>
                <w:szCs w:val="22"/>
                <w:lang w:eastAsia="en-US"/>
              </w:rPr>
              <w:t>średnio</w:t>
            </w:r>
            <w:r>
              <w:rPr>
                <w:rFonts w:eastAsia="Calibri" w:cs="Times New Roman"/>
                <w:bCs/>
                <w:sz w:val="22"/>
                <w:szCs w:val="22"/>
                <w:lang w:eastAsia="en-US"/>
              </w:rPr>
              <w:t xml:space="preserve"> 0,49h FTE.</w:t>
            </w:r>
          </w:p>
          <w:p w14:paraId="581E60FB" w14:textId="1D20B73E" w:rsidR="007532AB"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 xml:space="preserve">Ponowne wyznaczenie strefy geograficznej dla BSP (11-49) wyniesie </w:t>
            </w:r>
            <w:r w:rsidRPr="007F6125">
              <w:rPr>
                <w:rFonts w:eastAsia="Calibri" w:cs="Times New Roman"/>
                <w:bCs/>
                <w:sz w:val="22"/>
                <w:szCs w:val="22"/>
                <w:lang w:eastAsia="en-US"/>
              </w:rPr>
              <w:t>średnio</w:t>
            </w:r>
            <w:r>
              <w:rPr>
                <w:rFonts w:eastAsia="Calibri" w:cs="Times New Roman"/>
                <w:bCs/>
                <w:sz w:val="22"/>
                <w:szCs w:val="22"/>
                <w:lang w:eastAsia="en-US"/>
              </w:rPr>
              <w:t xml:space="preserve"> 0,32h FTE.</w:t>
            </w:r>
          </w:p>
          <w:p w14:paraId="62619F42" w14:textId="68CD2B73" w:rsidR="007532AB" w:rsidRPr="008E4D88" w:rsidRDefault="007532AB" w:rsidP="007532AB">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 xml:space="preserve">Ponowne wyznaczenie strefy geograficznej dla BSP (powyżej 49) wyniesie </w:t>
            </w:r>
            <w:r w:rsidRPr="007F6125">
              <w:rPr>
                <w:rFonts w:eastAsia="Calibri" w:cs="Times New Roman"/>
                <w:bCs/>
                <w:sz w:val="22"/>
                <w:szCs w:val="22"/>
                <w:lang w:eastAsia="en-US"/>
              </w:rPr>
              <w:t>średnio</w:t>
            </w:r>
            <w:r>
              <w:rPr>
                <w:rFonts w:eastAsia="Calibri" w:cs="Times New Roman"/>
                <w:bCs/>
                <w:sz w:val="22"/>
                <w:szCs w:val="22"/>
                <w:lang w:eastAsia="en-US"/>
              </w:rPr>
              <w:t xml:space="preserve"> 0,2h FTE.</w:t>
            </w:r>
          </w:p>
          <w:p w14:paraId="79A0B2BD" w14:textId="2B0F1519" w:rsidR="007532AB" w:rsidRPr="009D5636" w:rsidRDefault="007532AB" w:rsidP="007532AB">
            <w:pPr>
              <w:widowControl/>
              <w:autoSpaceDE/>
              <w:adjustRightInd/>
              <w:spacing w:before="120" w:after="120" w:line="240" w:lineRule="auto"/>
              <w:ind w:left="88"/>
              <w:jc w:val="both"/>
              <w:rPr>
                <w:rFonts w:eastAsia="Calibri" w:cs="Times New Roman"/>
                <w:bCs/>
                <w:sz w:val="22"/>
                <w:szCs w:val="22"/>
                <w:lang w:eastAsia="en-US"/>
              </w:rPr>
            </w:pPr>
            <w:r w:rsidRPr="009D5636">
              <w:rPr>
                <w:rFonts w:eastAsia="Calibri" w:cs="Times New Roman"/>
                <w:bCs/>
                <w:sz w:val="22"/>
                <w:szCs w:val="22"/>
                <w:lang w:eastAsia="en-US"/>
              </w:rPr>
              <w:t xml:space="preserve">Oszacowana wartość </w:t>
            </w:r>
            <w:r>
              <w:rPr>
                <w:rFonts w:eastAsia="Calibri" w:cs="Times New Roman"/>
                <w:bCs/>
                <w:sz w:val="22"/>
                <w:szCs w:val="22"/>
                <w:lang w:eastAsia="en-US"/>
              </w:rPr>
              <w:t>stworzenia</w:t>
            </w:r>
            <w:r w:rsidRPr="009D5636">
              <w:rPr>
                <w:rFonts w:eastAsia="Calibri" w:cs="Times New Roman"/>
                <w:bCs/>
                <w:sz w:val="22"/>
                <w:szCs w:val="22"/>
                <w:lang w:eastAsia="en-US"/>
              </w:rPr>
              <w:t xml:space="preserve"> modułu do stref geograficznych </w:t>
            </w:r>
            <w:r>
              <w:rPr>
                <w:rFonts w:eastAsia="Calibri" w:cs="Times New Roman"/>
                <w:bCs/>
                <w:sz w:val="22"/>
                <w:szCs w:val="22"/>
                <w:lang w:eastAsia="en-US"/>
              </w:rPr>
              <w:t xml:space="preserve">w ramach ww. systemu informatycznego </w:t>
            </w:r>
            <w:r w:rsidRPr="009D5636">
              <w:rPr>
                <w:rFonts w:eastAsia="Calibri" w:cs="Times New Roman"/>
                <w:bCs/>
                <w:sz w:val="22"/>
                <w:szCs w:val="22"/>
                <w:lang w:eastAsia="en-US"/>
              </w:rPr>
              <w:t xml:space="preserve">to </w:t>
            </w:r>
            <w:r>
              <w:rPr>
                <w:rFonts w:eastAsia="Calibri" w:cs="Times New Roman"/>
                <w:bCs/>
                <w:sz w:val="22"/>
                <w:szCs w:val="22"/>
                <w:lang w:eastAsia="en-US"/>
              </w:rPr>
              <w:t>11 600</w:t>
            </w:r>
            <w:r w:rsidRPr="009D5636">
              <w:rPr>
                <w:rFonts w:eastAsia="Calibri" w:cs="Times New Roman"/>
                <w:bCs/>
                <w:sz w:val="22"/>
                <w:szCs w:val="22"/>
                <w:lang w:eastAsia="en-US"/>
              </w:rPr>
              <w:t xml:space="preserve"> h przy założeniu stawki godzinowej wynoszącej 230</w:t>
            </w:r>
            <w:r>
              <w:rPr>
                <w:rFonts w:eastAsia="Calibri" w:cs="Times New Roman"/>
                <w:bCs/>
                <w:sz w:val="22"/>
                <w:szCs w:val="22"/>
                <w:lang w:eastAsia="en-US"/>
              </w:rPr>
              <w:t xml:space="preserve"> zł netto</w:t>
            </w:r>
            <w:r w:rsidRPr="009D5636">
              <w:rPr>
                <w:rFonts w:eastAsia="Calibri" w:cs="Times New Roman"/>
                <w:bCs/>
                <w:sz w:val="22"/>
                <w:szCs w:val="22"/>
                <w:lang w:eastAsia="en-US"/>
              </w:rPr>
              <w:t>, tj. 282,90 zł brutto</w:t>
            </w:r>
            <w:r>
              <w:rPr>
                <w:rFonts w:eastAsia="Calibri" w:cs="Times New Roman"/>
                <w:bCs/>
                <w:sz w:val="22"/>
                <w:szCs w:val="22"/>
                <w:lang w:eastAsia="en-US"/>
              </w:rPr>
              <w:t>. Daje to sumaryczny koszt w wysokości 3,3 mln zł brutto.</w:t>
            </w:r>
          </w:p>
          <w:p w14:paraId="24F5FB5E" w14:textId="1F694AC5" w:rsidR="007532AB" w:rsidRDefault="007532AB" w:rsidP="007532AB">
            <w:pPr>
              <w:widowControl/>
              <w:autoSpaceDE/>
              <w:adjustRightInd/>
              <w:spacing w:before="120" w:after="120" w:line="240" w:lineRule="auto"/>
              <w:ind w:left="88"/>
              <w:jc w:val="both"/>
              <w:rPr>
                <w:rFonts w:eastAsia="Calibri" w:cs="Times New Roman"/>
                <w:bCs/>
                <w:sz w:val="22"/>
                <w:szCs w:val="22"/>
                <w:lang w:eastAsia="en-US"/>
              </w:rPr>
            </w:pPr>
            <w:r w:rsidRPr="00D9149E">
              <w:rPr>
                <w:rFonts w:eastAsia="Calibri" w:cs="Times New Roman"/>
                <w:bCs/>
                <w:sz w:val="22"/>
                <w:szCs w:val="22"/>
                <w:lang w:eastAsia="en-US"/>
              </w:rPr>
              <w:t xml:space="preserve">Z kolei koszt utrzymania systemu </w:t>
            </w:r>
            <w:r>
              <w:rPr>
                <w:rFonts w:eastAsia="Calibri" w:cs="Times New Roman"/>
                <w:bCs/>
                <w:sz w:val="22"/>
                <w:szCs w:val="22"/>
                <w:lang w:eastAsia="en-US"/>
              </w:rPr>
              <w:t>jw. wyniesie 29 000 zł miesięcznie brutto. Przez pierwsze dwa lata obowiązywania regulacji PAŻP będzie ponosić tę opłatę na rzecz podmiotu zewnętrznego, by – po uzyskaniu niezbędnych doświadczeń i wiedzy – przejąć te zadania do własnego zespołu. Koszt utrzymania systemu pozostanie bez zmian. Daje to łącznie, w okresie oceny regulacji, około 7,14 mln zł brutto za utworzenie i utrzymanie systemu.</w:t>
            </w:r>
          </w:p>
          <w:p w14:paraId="4430B32B" w14:textId="6B1545A8" w:rsidR="007532AB" w:rsidRPr="008E4D88" w:rsidRDefault="007532AB" w:rsidP="007532AB">
            <w:pPr>
              <w:widowControl/>
              <w:autoSpaceDE/>
              <w:adjustRightInd/>
              <w:spacing w:before="120" w:after="120" w:line="240" w:lineRule="auto"/>
              <w:ind w:left="88"/>
              <w:jc w:val="both"/>
              <w:rPr>
                <w:rFonts w:eastAsia="Calibri" w:cs="Times New Roman"/>
                <w:bCs/>
                <w:sz w:val="22"/>
                <w:szCs w:val="22"/>
                <w:lang w:eastAsia="en-US"/>
              </w:rPr>
            </w:pPr>
            <w:r w:rsidRPr="001A019D">
              <w:rPr>
                <w:rFonts w:eastAsia="Calibri" w:cs="Times New Roman"/>
                <w:bCs/>
                <w:sz w:val="22"/>
                <w:szCs w:val="22"/>
                <w:lang w:eastAsia="en-US"/>
              </w:rPr>
              <w:t>Wpływ na sektor finansów publicznych w części Wydatki, zaprezentowana została w</w:t>
            </w:r>
            <w:r w:rsidR="00072270">
              <w:rPr>
                <w:rFonts w:eastAsia="Calibri" w:cs="Times New Roman"/>
                <w:bCs/>
                <w:sz w:val="22"/>
                <w:szCs w:val="22"/>
                <w:lang w:eastAsia="en-US"/>
              </w:rPr>
              <w:t> </w:t>
            </w:r>
            <w:r w:rsidRPr="001A019D">
              <w:rPr>
                <w:rFonts w:eastAsia="Calibri" w:cs="Times New Roman"/>
                <w:bCs/>
                <w:sz w:val="22"/>
                <w:szCs w:val="22"/>
                <w:lang w:eastAsia="en-US"/>
              </w:rPr>
              <w:t>Załączniku nr 3</w:t>
            </w:r>
            <w:r>
              <w:rPr>
                <w:rFonts w:eastAsia="Calibri" w:cs="Times New Roman"/>
                <w:bCs/>
                <w:sz w:val="22"/>
                <w:szCs w:val="22"/>
                <w:lang w:eastAsia="en-US"/>
              </w:rPr>
              <w:t xml:space="preserve"> do OSR</w:t>
            </w:r>
            <w:r w:rsidRPr="001A019D">
              <w:rPr>
                <w:rFonts w:eastAsia="Calibri" w:cs="Times New Roman"/>
                <w:bCs/>
                <w:sz w:val="22"/>
                <w:szCs w:val="22"/>
                <w:lang w:eastAsia="en-US"/>
              </w:rPr>
              <w:t>.</w:t>
            </w:r>
          </w:p>
          <w:p w14:paraId="1C3E49DD" w14:textId="03F37D5A" w:rsidR="007532AB" w:rsidRDefault="007532AB" w:rsidP="007532AB">
            <w:pPr>
              <w:widowControl/>
              <w:autoSpaceDE/>
              <w:adjustRightInd/>
              <w:spacing w:before="120" w:after="120" w:line="240" w:lineRule="auto"/>
              <w:ind w:left="88"/>
              <w:jc w:val="both"/>
              <w:rPr>
                <w:rFonts w:eastAsia="Calibri" w:cs="Times New Roman"/>
                <w:bCs/>
                <w:sz w:val="22"/>
                <w:szCs w:val="22"/>
                <w:lang w:eastAsia="en-US"/>
              </w:rPr>
            </w:pPr>
            <w:bookmarkStart w:id="8" w:name="_Hlk74633709"/>
            <w:bookmarkStart w:id="9" w:name="_Hlk74633780"/>
            <w:r w:rsidRPr="004547D4">
              <w:rPr>
                <w:rFonts w:eastAsia="Calibri" w:cs="Times New Roman"/>
                <w:bCs/>
                <w:sz w:val="22"/>
                <w:szCs w:val="22"/>
                <w:lang w:eastAsia="en-US"/>
              </w:rPr>
              <w:t xml:space="preserve">Realizacja dodatkowych obowiązków administracyjnych przez Dział Zarządzania Operacjami Bezzałogowych Statków Powietrznych </w:t>
            </w:r>
            <w:r>
              <w:rPr>
                <w:rFonts w:eastAsia="Calibri" w:cs="Times New Roman"/>
                <w:bCs/>
                <w:sz w:val="22"/>
                <w:szCs w:val="22"/>
                <w:lang w:eastAsia="en-US"/>
              </w:rPr>
              <w:t xml:space="preserve">PAŻP </w:t>
            </w:r>
            <w:r w:rsidRPr="004547D4">
              <w:rPr>
                <w:rFonts w:eastAsia="Calibri" w:cs="Times New Roman"/>
                <w:bCs/>
                <w:sz w:val="22"/>
                <w:szCs w:val="22"/>
                <w:lang w:eastAsia="en-US"/>
              </w:rPr>
              <w:t xml:space="preserve">dotyczących wyznaczania stref geograficznych wymagać będą zwiększenia </w:t>
            </w:r>
            <w:r>
              <w:rPr>
                <w:rFonts w:eastAsia="Calibri" w:cs="Times New Roman"/>
                <w:bCs/>
                <w:sz w:val="22"/>
                <w:szCs w:val="22"/>
                <w:lang w:eastAsia="en-US"/>
              </w:rPr>
              <w:t>o 2 etaty w pierwszym roku obowiązywania ustawy (rok 0.).</w:t>
            </w:r>
          </w:p>
          <w:p w14:paraId="1CA4599C" w14:textId="3AB0E608" w:rsidR="007532AB" w:rsidRDefault="007532AB" w:rsidP="007532AB">
            <w:pPr>
              <w:widowControl/>
              <w:autoSpaceDE/>
              <w:adjustRightInd/>
              <w:spacing w:before="120" w:after="120" w:line="240" w:lineRule="auto"/>
              <w:ind w:left="88"/>
              <w:jc w:val="both"/>
              <w:rPr>
                <w:rFonts w:eastAsia="Calibri" w:cs="Times New Roman"/>
                <w:bCs/>
                <w:sz w:val="22"/>
                <w:szCs w:val="22"/>
                <w:lang w:eastAsia="en-US"/>
              </w:rPr>
            </w:pPr>
            <w:r w:rsidRPr="004547D4">
              <w:rPr>
                <w:rFonts w:eastAsia="Calibri" w:cs="Times New Roman"/>
                <w:bCs/>
                <w:sz w:val="22"/>
                <w:szCs w:val="22"/>
                <w:lang w:eastAsia="en-US"/>
              </w:rPr>
              <w:t>Rozwój rynku BSP, a tym s</w:t>
            </w:r>
            <w:r>
              <w:rPr>
                <w:rFonts w:eastAsia="Calibri" w:cs="Times New Roman"/>
                <w:bCs/>
                <w:sz w:val="22"/>
                <w:szCs w:val="22"/>
                <w:lang w:eastAsia="en-US"/>
              </w:rPr>
              <w:t>amym systematyczny wzrost liczby</w:t>
            </w:r>
            <w:r w:rsidRPr="004547D4">
              <w:rPr>
                <w:rFonts w:eastAsia="Calibri" w:cs="Times New Roman"/>
                <w:bCs/>
                <w:sz w:val="22"/>
                <w:szCs w:val="22"/>
                <w:lang w:eastAsia="en-US"/>
              </w:rPr>
              <w:t xml:space="preserve"> wniosków rozpatrywanych przez </w:t>
            </w:r>
            <w:r>
              <w:rPr>
                <w:rFonts w:eastAsia="Calibri" w:cs="Times New Roman"/>
                <w:bCs/>
                <w:sz w:val="22"/>
                <w:szCs w:val="22"/>
                <w:lang w:eastAsia="en-US"/>
              </w:rPr>
              <w:t>PAŻP</w:t>
            </w:r>
            <w:r w:rsidRPr="004547D4">
              <w:rPr>
                <w:rFonts w:eastAsia="Calibri" w:cs="Times New Roman"/>
                <w:bCs/>
                <w:sz w:val="22"/>
                <w:szCs w:val="22"/>
                <w:lang w:eastAsia="en-US"/>
              </w:rPr>
              <w:t xml:space="preserve"> wymagać będzie zwiększania liczby etatów administracyjnych Działu Zarządzania Operacjami Bezzałogowych Statków Powietrznych PAŻP </w:t>
            </w:r>
            <w:r>
              <w:rPr>
                <w:rFonts w:eastAsia="Calibri" w:cs="Times New Roman"/>
                <w:bCs/>
                <w:sz w:val="22"/>
                <w:szCs w:val="22"/>
                <w:lang w:eastAsia="en-US"/>
              </w:rPr>
              <w:t xml:space="preserve">z uwagi na </w:t>
            </w:r>
            <w:r w:rsidRPr="00AC5D68">
              <w:rPr>
                <w:rFonts w:eastAsia="Calibri" w:cs="Times New Roman"/>
                <w:bCs/>
                <w:sz w:val="22"/>
                <w:szCs w:val="22"/>
                <w:lang w:eastAsia="en-US"/>
              </w:rPr>
              <w:t>wzr</w:t>
            </w:r>
            <w:r>
              <w:rPr>
                <w:rFonts w:eastAsia="Calibri" w:cs="Times New Roman"/>
                <w:bCs/>
                <w:sz w:val="22"/>
                <w:szCs w:val="22"/>
                <w:lang w:eastAsia="en-US"/>
              </w:rPr>
              <w:t>o</w:t>
            </w:r>
            <w:r w:rsidRPr="00AC5D68">
              <w:rPr>
                <w:rFonts w:eastAsia="Calibri" w:cs="Times New Roman"/>
                <w:bCs/>
                <w:sz w:val="22"/>
                <w:szCs w:val="22"/>
                <w:lang w:eastAsia="en-US"/>
              </w:rPr>
              <w:t>st</w:t>
            </w:r>
            <w:r>
              <w:rPr>
                <w:rFonts w:eastAsia="Calibri" w:cs="Times New Roman"/>
                <w:bCs/>
                <w:sz w:val="22"/>
                <w:szCs w:val="22"/>
                <w:lang w:eastAsia="en-US"/>
              </w:rPr>
              <w:t xml:space="preserve"> pracochłonności</w:t>
            </w:r>
            <w:r w:rsidRPr="00AC5D68">
              <w:rPr>
                <w:rFonts w:eastAsia="Calibri" w:cs="Times New Roman"/>
                <w:bCs/>
                <w:sz w:val="22"/>
                <w:szCs w:val="22"/>
                <w:lang w:eastAsia="en-US"/>
              </w:rPr>
              <w:t xml:space="preserve"> niezbędn</w:t>
            </w:r>
            <w:r>
              <w:rPr>
                <w:rFonts w:eastAsia="Calibri" w:cs="Times New Roman"/>
                <w:bCs/>
                <w:sz w:val="22"/>
                <w:szCs w:val="22"/>
                <w:lang w:eastAsia="en-US"/>
              </w:rPr>
              <w:t>ej do ich realizacji. W</w:t>
            </w:r>
            <w:r w:rsidR="00072270">
              <w:rPr>
                <w:rFonts w:eastAsia="Calibri" w:cs="Times New Roman"/>
                <w:bCs/>
                <w:sz w:val="22"/>
                <w:szCs w:val="22"/>
                <w:lang w:eastAsia="en-US"/>
              </w:rPr>
              <w:t> </w:t>
            </w:r>
            <w:r>
              <w:rPr>
                <w:rFonts w:eastAsia="Calibri" w:cs="Times New Roman"/>
                <w:bCs/>
                <w:sz w:val="22"/>
                <w:szCs w:val="22"/>
                <w:lang w:eastAsia="en-US"/>
              </w:rPr>
              <w:t>rezultacie prowadzi do osiągnięcia następującej ich liczby w kolejnych latach obowiązywania projektowanej ustawy:</w:t>
            </w:r>
          </w:p>
          <w:p w14:paraId="680E8398" w14:textId="3FBD7D53" w:rsidR="007532AB" w:rsidRPr="00AE6566" w:rsidRDefault="007532AB" w:rsidP="007532AB">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3</w:t>
            </w:r>
            <w:r w:rsidRPr="00AE6566">
              <w:rPr>
                <w:rFonts w:eastAsia="Calibri" w:cs="Times New Roman"/>
                <w:bCs/>
                <w:sz w:val="22"/>
                <w:szCs w:val="22"/>
                <w:lang w:eastAsia="en-US"/>
              </w:rPr>
              <w:t xml:space="preserve"> etaty w </w:t>
            </w:r>
            <w:r>
              <w:rPr>
                <w:rFonts w:eastAsia="Calibri" w:cs="Times New Roman"/>
                <w:bCs/>
                <w:sz w:val="22"/>
                <w:szCs w:val="22"/>
                <w:lang w:eastAsia="en-US"/>
              </w:rPr>
              <w:t xml:space="preserve">pierwszym i drugim </w:t>
            </w:r>
            <w:r w:rsidRPr="00AE6566">
              <w:rPr>
                <w:rFonts w:eastAsia="Calibri" w:cs="Times New Roman"/>
                <w:bCs/>
                <w:sz w:val="22"/>
                <w:szCs w:val="22"/>
                <w:lang w:eastAsia="en-US"/>
              </w:rPr>
              <w:t>roku obowiązywania ustawy,</w:t>
            </w:r>
          </w:p>
          <w:p w14:paraId="0FDB5AD4" w14:textId="525DA5AB" w:rsidR="007532AB" w:rsidRPr="00AE6566" w:rsidRDefault="007532AB" w:rsidP="007532AB">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4</w:t>
            </w:r>
            <w:r w:rsidRPr="00AE6566">
              <w:rPr>
                <w:rFonts w:eastAsia="Calibri" w:cs="Times New Roman"/>
                <w:bCs/>
                <w:sz w:val="22"/>
                <w:szCs w:val="22"/>
                <w:lang w:eastAsia="en-US"/>
              </w:rPr>
              <w:t xml:space="preserve"> etat</w:t>
            </w:r>
            <w:r>
              <w:rPr>
                <w:rFonts w:eastAsia="Calibri" w:cs="Times New Roman"/>
                <w:bCs/>
                <w:sz w:val="22"/>
                <w:szCs w:val="22"/>
                <w:lang w:eastAsia="en-US"/>
              </w:rPr>
              <w:t>y</w:t>
            </w:r>
            <w:r w:rsidRPr="00AE6566">
              <w:rPr>
                <w:rFonts w:eastAsia="Calibri" w:cs="Times New Roman"/>
                <w:bCs/>
                <w:sz w:val="22"/>
                <w:szCs w:val="22"/>
                <w:lang w:eastAsia="en-US"/>
              </w:rPr>
              <w:t xml:space="preserve"> w </w:t>
            </w:r>
            <w:r>
              <w:rPr>
                <w:rFonts w:eastAsia="Calibri" w:cs="Times New Roman"/>
                <w:bCs/>
                <w:sz w:val="22"/>
                <w:szCs w:val="22"/>
                <w:lang w:eastAsia="en-US"/>
              </w:rPr>
              <w:t>trzecim, czwartym</w:t>
            </w:r>
            <w:r w:rsidRPr="00AE6566">
              <w:rPr>
                <w:rFonts w:eastAsia="Calibri" w:cs="Times New Roman"/>
                <w:bCs/>
                <w:sz w:val="22"/>
                <w:szCs w:val="22"/>
                <w:lang w:eastAsia="en-US"/>
              </w:rPr>
              <w:t xml:space="preserve"> </w:t>
            </w:r>
            <w:r>
              <w:rPr>
                <w:rFonts w:eastAsia="Calibri" w:cs="Times New Roman"/>
                <w:bCs/>
                <w:sz w:val="22"/>
                <w:szCs w:val="22"/>
                <w:lang w:eastAsia="en-US"/>
              </w:rPr>
              <w:t xml:space="preserve">i piątym </w:t>
            </w:r>
            <w:r w:rsidRPr="00AE6566">
              <w:rPr>
                <w:rFonts w:eastAsia="Calibri" w:cs="Times New Roman"/>
                <w:bCs/>
                <w:sz w:val="22"/>
                <w:szCs w:val="22"/>
                <w:lang w:eastAsia="en-US"/>
              </w:rPr>
              <w:t>roku obowiązywania ustawy,</w:t>
            </w:r>
          </w:p>
          <w:p w14:paraId="6D382D1D" w14:textId="1C7E1F35" w:rsidR="007532AB" w:rsidRPr="00AE6566" w:rsidRDefault="007532AB" w:rsidP="007532AB">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6</w:t>
            </w:r>
            <w:r w:rsidRPr="00AE6566">
              <w:rPr>
                <w:rFonts w:eastAsia="Calibri" w:cs="Times New Roman"/>
                <w:bCs/>
                <w:sz w:val="22"/>
                <w:szCs w:val="22"/>
                <w:lang w:eastAsia="en-US"/>
              </w:rPr>
              <w:t xml:space="preserve"> etat</w:t>
            </w:r>
            <w:r>
              <w:rPr>
                <w:rFonts w:eastAsia="Calibri" w:cs="Times New Roman"/>
                <w:bCs/>
                <w:sz w:val="22"/>
                <w:szCs w:val="22"/>
                <w:lang w:eastAsia="en-US"/>
              </w:rPr>
              <w:t>ów</w:t>
            </w:r>
            <w:r w:rsidRPr="00AE6566">
              <w:rPr>
                <w:rFonts w:eastAsia="Calibri" w:cs="Times New Roman"/>
                <w:bCs/>
                <w:sz w:val="22"/>
                <w:szCs w:val="22"/>
                <w:lang w:eastAsia="en-US"/>
              </w:rPr>
              <w:t xml:space="preserve"> w</w:t>
            </w:r>
            <w:r>
              <w:rPr>
                <w:rFonts w:eastAsia="Calibri" w:cs="Times New Roman"/>
                <w:bCs/>
                <w:sz w:val="22"/>
                <w:szCs w:val="22"/>
                <w:lang w:eastAsia="en-US"/>
              </w:rPr>
              <w:t xml:space="preserve"> piątym i szóstym </w:t>
            </w:r>
            <w:r w:rsidRPr="00AE6566">
              <w:rPr>
                <w:rFonts w:eastAsia="Calibri" w:cs="Times New Roman"/>
                <w:bCs/>
                <w:sz w:val="22"/>
                <w:szCs w:val="22"/>
                <w:lang w:eastAsia="en-US"/>
              </w:rPr>
              <w:t>roku obowiązywania ustawy,</w:t>
            </w:r>
          </w:p>
          <w:p w14:paraId="4BEF6A0D" w14:textId="6DA97B84" w:rsidR="007532AB" w:rsidRPr="00AE6566" w:rsidRDefault="007532AB" w:rsidP="007532AB">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7</w:t>
            </w:r>
            <w:r w:rsidRPr="00AE6566">
              <w:rPr>
                <w:rFonts w:eastAsia="Calibri" w:cs="Times New Roman"/>
                <w:bCs/>
                <w:sz w:val="22"/>
                <w:szCs w:val="22"/>
                <w:lang w:eastAsia="en-US"/>
              </w:rPr>
              <w:t xml:space="preserve"> etat</w:t>
            </w:r>
            <w:r>
              <w:rPr>
                <w:rFonts w:eastAsia="Calibri" w:cs="Times New Roman"/>
                <w:bCs/>
                <w:sz w:val="22"/>
                <w:szCs w:val="22"/>
                <w:lang w:eastAsia="en-US"/>
              </w:rPr>
              <w:t>ów</w:t>
            </w:r>
            <w:r w:rsidRPr="00AE6566">
              <w:rPr>
                <w:rFonts w:eastAsia="Calibri" w:cs="Times New Roman"/>
                <w:bCs/>
                <w:sz w:val="22"/>
                <w:szCs w:val="22"/>
                <w:lang w:eastAsia="en-US"/>
              </w:rPr>
              <w:t xml:space="preserve"> </w:t>
            </w:r>
            <w:r>
              <w:rPr>
                <w:rFonts w:eastAsia="Calibri" w:cs="Times New Roman"/>
                <w:bCs/>
                <w:sz w:val="22"/>
                <w:szCs w:val="22"/>
                <w:lang w:eastAsia="en-US"/>
              </w:rPr>
              <w:t>w siódmym i ósmym</w:t>
            </w:r>
            <w:r w:rsidRPr="00AE6566">
              <w:rPr>
                <w:rFonts w:eastAsia="Calibri" w:cs="Times New Roman"/>
                <w:bCs/>
                <w:sz w:val="22"/>
                <w:szCs w:val="22"/>
                <w:lang w:eastAsia="en-US"/>
              </w:rPr>
              <w:t xml:space="preserve"> roku obowiązywania ustawy, </w:t>
            </w:r>
          </w:p>
          <w:p w14:paraId="3AC45707" w14:textId="52248FEF" w:rsidR="007532AB" w:rsidRPr="00712842" w:rsidRDefault="007532AB" w:rsidP="007532AB">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8</w:t>
            </w:r>
            <w:r w:rsidRPr="00AE6566">
              <w:rPr>
                <w:rFonts w:eastAsia="Calibri" w:cs="Times New Roman"/>
                <w:bCs/>
                <w:sz w:val="22"/>
                <w:szCs w:val="22"/>
                <w:lang w:eastAsia="en-US"/>
              </w:rPr>
              <w:t xml:space="preserve"> etat</w:t>
            </w:r>
            <w:r>
              <w:rPr>
                <w:rFonts w:eastAsia="Calibri" w:cs="Times New Roman"/>
                <w:bCs/>
                <w:sz w:val="22"/>
                <w:szCs w:val="22"/>
                <w:lang w:eastAsia="en-US"/>
              </w:rPr>
              <w:t>ów</w:t>
            </w:r>
            <w:r w:rsidRPr="00AE6566">
              <w:rPr>
                <w:rFonts w:eastAsia="Calibri" w:cs="Times New Roman"/>
                <w:bCs/>
                <w:sz w:val="22"/>
                <w:szCs w:val="22"/>
                <w:lang w:eastAsia="en-US"/>
              </w:rPr>
              <w:t xml:space="preserve"> w </w:t>
            </w:r>
            <w:r>
              <w:rPr>
                <w:rFonts w:eastAsia="Calibri" w:cs="Times New Roman"/>
                <w:bCs/>
                <w:sz w:val="22"/>
                <w:szCs w:val="22"/>
                <w:lang w:eastAsia="en-US"/>
              </w:rPr>
              <w:t xml:space="preserve">ósmym i dziewiątym </w:t>
            </w:r>
            <w:r w:rsidRPr="00AE6566">
              <w:rPr>
                <w:rFonts w:eastAsia="Calibri" w:cs="Times New Roman"/>
                <w:bCs/>
                <w:sz w:val="22"/>
                <w:szCs w:val="22"/>
                <w:lang w:eastAsia="en-US"/>
              </w:rPr>
              <w:t>roku obowiązywania ustawy</w:t>
            </w:r>
            <w:r>
              <w:rPr>
                <w:rFonts w:eastAsia="Calibri" w:cs="Times New Roman"/>
                <w:bCs/>
                <w:sz w:val="22"/>
                <w:szCs w:val="22"/>
                <w:lang w:eastAsia="en-US"/>
              </w:rPr>
              <w:t>,</w:t>
            </w:r>
          </w:p>
          <w:p w14:paraId="1217E0BE" w14:textId="628DF1F8" w:rsidR="007532AB" w:rsidRPr="00207968" w:rsidRDefault="007532AB" w:rsidP="007532AB">
            <w:pPr>
              <w:widowControl/>
              <w:autoSpaceDE/>
              <w:adjustRightInd/>
              <w:spacing w:before="120" w:after="120" w:line="240" w:lineRule="auto"/>
              <w:jc w:val="both"/>
              <w:rPr>
                <w:rFonts w:eastAsia="Calibri" w:cs="Times New Roman"/>
                <w:bCs/>
                <w:sz w:val="22"/>
                <w:szCs w:val="22"/>
                <w:lang w:eastAsia="en-US"/>
              </w:rPr>
            </w:pPr>
            <w:r w:rsidRPr="00207968">
              <w:rPr>
                <w:rFonts w:eastAsia="Calibri" w:cs="Times New Roman"/>
                <w:bCs/>
                <w:sz w:val="22"/>
                <w:szCs w:val="22"/>
                <w:lang w:eastAsia="en-US"/>
              </w:rPr>
              <w:t xml:space="preserve">Wzrost rocznego funduszu osobowego wynagrodzeń PAŻP kształtować się będzie proporcjonalnie. </w:t>
            </w:r>
            <w:bookmarkStart w:id="10" w:name="_Hlk74636107"/>
            <w:r w:rsidRPr="00207968">
              <w:rPr>
                <w:rFonts w:eastAsia="Calibri" w:cs="Times New Roman"/>
                <w:bCs/>
                <w:sz w:val="22"/>
                <w:szCs w:val="22"/>
                <w:lang w:eastAsia="en-US"/>
              </w:rPr>
              <w:t xml:space="preserve">Docelowo ukształtuje się on na poziomie </w:t>
            </w:r>
            <w:bookmarkEnd w:id="10"/>
            <w:r>
              <w:rPr>
                <w:rFonts w:eastAsia="Calibri" w:cs="Times New Roman"/>
                <w:bCs/>
                <w:sz w:val="22"/>
                <w:szCs w:val="22"/>
                <w:lang w:eastAsia="en-US"/>
              </w:rPr>
              <w:t>1,560</w:t>
            </w:r>
            <w:r w:rsidRPr="00207968">
              <w:rPr>
                <w:rFonts w:eastAsia="Calibri" w:cs="Times New Roman"/>
                <w:bCs/>
                <w:sz w:val="22"/>
                <w:szCs w:val="22"/>
                <w:lang w:eastAsia="en-US"/>
              </w:rPr>
              <w:t> tys. </w:t>
            </w:r>
            <w:r>
              <w:rPr>
                <w:rFonts w:eastAsia="Calibri" w:cs="Times New Roman"/>
                <w:bCs/>
                <w:sz w:val="22"/>
                <w:szCs w:val="22"/>
                <w:lang w:eastAsia="en-US"/>
              </w:rPr>
              <w:t>zł</w:t>
            </w:r>
            <w:r w:rsidRPr="00207968">
              <w:rPr>
                <w:rFonts w:eastAsia="Calibri" w:cs="Times New Roman"/>
                <w:bCs/>
                <w:sz w:val="22"/>
                <w:szCs w:val="22"/>
                <w:lang w:eastAsia="en-US"/>
              </w:rPr>
              <w:t xml:space="preserve"> w dziesiątym roku obowiązywania ustawy.</w:t>
            </w:r>
            <w:bookmarkEnd w:id="8"/>
            <w:r w:rsidRPr="00207968">
              <w:rPr>
                <w:rFonts w:eastAsia="Calibri" w:cs="Times New Roman"/>
                <w:bCs/>
                <w:sz w:val="22"/>
                <w:szCs w:val="22"/>
                <w:lang w:eastAsia="en-US"/>
              </w:rPr>
              <w:t xml:space="preserve"> </w:t>
            </w:r>
            <w:bookmarkEnd w:id="9"/>
          </w:p>
          <w:p w14:paraId="7CEABD18" w14:textId="75E6F09A" w:rsidR="007532AB" w:rsidRPr="00493E19" w:rsidRDefault="007532AB" w:rsidP="007532AB">
            <w:pPr>
              <w:widowControl/>
              <w:autoSpaceDE/>
              <w:autoSpaceDN/>
              <w:adjustRightInd/>
              <w:spacing w:before="120" w:after="120" w:line="240" w:lineRule="auto"/>
              <w:jc w:val="both"/>
              <w:rPr>
                <w:rFonts w:eastAsia="Calibri" w:cs="Times New Roman"/>
                <w:b/>
                <w:bCs/>
                <w:sz w:val="22"/>
                <w:szCs w:val="22"/>
                <w:u w:val="single"/>
                <w:lang w:eastAsia="en-US"/>
              </w:rPr>
            </w:pPr>
            <w:r w:rsidRPr="00493E19">
              <w:rPr>
                <w:rFonts w:eastAsia="Calibri" w:cs="Times New Roman"/>
                <w:b/>
                <w:bCs/>
                <w:sz w:val="22"/>
                <w:szCs w:val="22"/>
                <w:u w:val="single"/>
                <w:lang w:eastAsia="en-US"/>
              </w:rPr>
              <w:t xml:space="preserve">3) </w:t>
            </w:r>
            <w:r>
              <w:rPr>
                <w:rFonts w:eastAsia="Calibri" w:cs="Times New Roman"/>
                <w:b/>
                <w:bCs/>
                <w:sz w:val="22"/>
                <w:szCs w:val="22"/>
                <w:u w:val="single"/>
                <w:lang w:eastAsia="en-US"/>
              </w:rPr>
              <w:t>Urząd obsługujący ministra właściwego do spraw transportu (aktualnie Ministerstwo Infrastruktury)</w:t>
            </w:r>
          </w:p>
          <w:p w14:paraId="7D3A86EB" w14:textId="14C05757" w:rsidR="007532AB" w:rsidRDefault="007532AB" w:rsidP="007532AB">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 xml:space="preserve">Projekt przewiduje w projektowanym art. 3b ust. 1 ustawy o PAŻP nałożenie na PAŻP obowiązku </w:t>
            </w:r>
            <w:r w:rsidRPr="00D525EE">
              <w:rPr>
                <w:rFonts w:eastAsia="Calibri" w:cs="Times New Roman"/>
                <w:bCs/>
                <w:sz w:val="22"/>
                <w:szCs w:val="22"/>
                <w:lang w:eastAsia="en-US"/>
              </w:rPr>
              <w:t>utrzymywania, prowadzenia i rozwoju system</w:t>
            </w:r>
            <w:r>
              <w:rPr>
                <w:rFonts w:eastAsia="Calibri" w:cs="Times New Roman"/>
                <w:bCs/>
                <w:sz w:val="22"/>
                <w:szCs w:val="22"/>
                <w:lang w:eastAsia="en-US"/>
              </w:rPr>
              <w:t>ów</w:t>
            </w:r>
            <w:r w:rsidRPr="00D525EE">
              <w:rPr>
                <w:rFonts w:eastAsia="Calibri" w:cs="Times New Roman"/>
                <w:bCs/>
                <w:sz w:val="22"/>
                <w:szCs w:val="22"/>
                <w:lang w:eastAsia="en-US"/>
              </w:rPr>
              <w:t xml:space="preserve"> teleinformatycz</w:t>
            </w:r>
            <w:r>
              <w:rPr>
                <w:rFonts w:eastAsia="Calibri" w:cs="Times New Roman"/>
                <w:bCs/>
                <w:sz w:val="22"/>
                <w:szCs w:val="22"/>
                <w:lang w:eastAsia="en-US"/>
              </w:rPr>
              <w:t>nych</w:t>
            </w:r>
            <w:r w:rsidRPr="00D525EE">
              <w:rPr>
                <w:rFonts w:eastAsia="Calibri" w:cs="Times New Roman"/>
                <w:bCs/>
                <w:sz w:val="22"/>
                <w:szCs w:val="22"/>
                <w:lang w:eastAsia="en-US"/>
              </w:rPr>
              <w:t xml:space="preserve"> umożliwiając</w:t>
            </w:r>
            <w:r>
              <w:rPr>
                <w:rFonts w:eastAsia="Calibri" w:cs="Times New Roman"/>
                <w:bCs/>
                <w:sz w:val="22"/>
                <w:szCs w:val="22"/>
                <w:lang w:eastAsia="en-US"/>
              </w:rPr>
              <w:t>ych</w:t>
            </w:r>
            <w:r w:rsidRPr="00D525EE">
              <w:rPr>
                <w:rFonts w:eastAsia="Calibri" w:cs="Times New Roman"/>
                <w:bCs/>
                <w:sz w:val="22"/>
                <w:szCs w:val="22"/>
                <w:lang w:eastAsia="en-US"/>
              </w:rPr>
              <w:t xml:space="preserve"> Prezesowi ULC i PAŻP realizację zadań określonych w art. 18 rozporządzenia wykonawczego.</w:t>
            </w:r>
            <w:r>
              <w:rPr>
                <w:rFonts w:eastAsia="Calibri" w:cs="Times New Roman"/>
                <w:bCs/>
                <w:sz w:val="22"/>
                <w:szCs w:val="22"/>
                <w:lang w:eastAsia="en-US"/>
              </w:rPr>
              <w:t xml:space="preserve"> Jednocześnie art. 23 projektu zakłada przyznanie PAŻP przez ministra właściwego do spraw transportu</w:t>
            </w:r>
            <w:r w:rsidRPr="004547D4">
              <w:rPr>
                <w:rFonts w:eastAsia="Calibri" w:cs="Times New Roman"/>
                <w:bCs/>
                <w:sz w:val="22"/>
                <w:szCs w:val="22"/>
                <w:lang w:eastAsia="en-US"/>
              </w:rPr>
              <w:t xml:space="preserve"> dotacji celowej z budżetu</w:t>
            </w:r>
            <w:r>
              <w:rPr>
                <w:rFonts w:eastAsia="Calibri" w:cs="Times New Roman"/>
                <w:bCs/>
                <w:sz w:val="22"/>
                <w:szCs w:val="22"/>
                <w:lang w:eastAsia="en-US"/>
              </w:rPr>
              <w:t xml:space="preserve"> państwa</w:t>
            </w:r>
            <w:r w:rsidRPr="004547D4">
              <w:rPr>
                <w:rFonts w:eastAsia="Calibri" w:cs="Times New Roman"/>
                <w:bCs/>
                <w:sz w:val="22"/>
                <w:szCs w:val="22"/>
                <w:lang w:eastAsia="en-US"/>
              </w:rPr>
              <w:t xml:space="preserve"> służącej pokryciu kosztów </w:t>
            </w:r>
            <w:r>
              <w:rPr>
                <w:rFonts w:eastAsia="Calibri" w:cs="Times New Roman"/>
                <w:bCs/>
                <w:sz w:val="22"/>
                <w:szCs w:val="22"/>
                <w:lang w:eastAsia="en-US"/>
              </w:rPr>
              <w:t xml:space="preserve">utrzymania trwałości projektu „Usługi cyfrowe dla bezzałogowych statków powietrznych”, </w:t>
            </w:r>
            <w:r w:rsidRPr="00042107">
              <w:rPr>
                <w:rFonts w:eastAsia="Calibri" w:cs="Times New Roman"/>
                <w:bCs/>
                <w:sz w:val="22"/>
                <w:szCs w:val="22"/>
                <w:lang w:eastAsia="en-US"/>
              </w:rPr>
              <w:t>realizowanego przez Polską Agencję Żeglugi Powietrznej, Ministerstwo Infrastruktury i Urząd Lotnictwa Cywilnego przy wsparciu środków Unii Europejskiej w ramach Programu Operacyjnego Polska Cyfrowa 2014-2020, przez okres 5 lat od dnia zakończenia realizacji projektu</w:t>
            </w:r>
            <w:r>
              <w:rPr>
                <w:rFonts w:eastAsia="Calibri" w:cs="Times New Roman"/>
                <w:bCs/>
                <w:sz w:val="22"/>
                <w:szCs w:val="22"/>
                <w:lang w:eastAsia="en-US"/>
              </w:rPr>
              <w:t>, którego efektem jest  system teleinformatyczny</w:t>
            </w:r>
            <w:r w:rsidRPr="006D6774">
              <w:rPr>
                <w:rFonts w:eastAsia="Calibri" w:cs="Times New Roman"/>
                <w:bCs/>
                <w:sz w:val="22"/>
                <w:szCs w:val="22"/>
                <w:lang w:eastAsia="en-US"/>
              </w:rPr>
              <w:t xml:space="preserve">, o którym mowa w art. 3b ust. </w:t>
            </w:r>
            <w:r>
              <w:rPr>
                <w:rFonts w:eastAsia="Calibri" w:cs="Times New Roman"/>
                <w:bCs/>
                <w:sz w:val="22"/>
                <w:szCs w:val="22"/>
                <w:lang w:eastAsia="en-US"/>
              </w:rPr>
              <w:t>1 pkt 2</w:t>
            </w:r>
            <w:r w:rsidRPr="006D6774">
              <w:rPr>
                <w:rFonts w:eastAsia="Calibri" w:cs="Times New Roman"/>
                <w:bCs/>
                <w:sz w:val="22"/>
                <w:szCs w:val="22"/>
                <w:lang w:eastAsia="en-US"/>
              </w:rPr>
              <w:t xml:space="preserve"> ustawy o PAŻP</w:t>
            </w:r>
            <w:r>
              <w:rPr>
                <w:rFonts w:eastAsia="Calibri" w:cs="Times New Roman"/>
                <w:bCs/>
                <w:sz w:val="22"/>
                <w:szCs w:val="22"/>
                <w:lang w:eastAsia="en-US"/>
              </w:rPr>
              <w:t xml:space="preserve">. Przyjęcie takiego rozwiązania wynika z konieczności zapewnienia stosowania przepisów rozporządzenia wykonawczego, a także jest niezbędne w celu </w:t>
            </w:r>
            <w:r w:rsidRPr="004547D4">
              <w:rPr>
                <w:rFonts w:eastAsia="Calibri" w:cs="Times New Roman"/>
                <w:bCs/>
                <w:sz w:val="22"/>
                <w:szCs w:val="22"/>
                <w:lang w:eastAsia="en-US"/>
              </w:rPr>
              <w:t xml:space="preserve">utrzymania efektów systemu teleinformatycznego wdrażanego w ramach </w:t>
            </w:r>
            <w:r>
              <w:rPr>
                <w:rFonts w:eastAsia="Calibri" w:cs="Times New Roman"/>
                <w:bCs/>
                <w:sz w:val="22"/>
                <w:szCs w:val="22"/>
                <w:lang w:eastAsia="en-US"/>
              </w:rPr>
              <w:t xml:space="preserve">ww. </w:t>
            </w:r>
            <w:r w:rsidRPr="004547D4">
              <w:rPr>
                <w:rFonts w:eastAsia="Calibri" w:cs="Times New Roman"/>
                <w:bCs/>
                <w:sz w:val="22"/>
                <w:szCs w:val="22"/>
                <w:lang w:eastAsia="en-US"/>
              </w:rPr>
              <w:t>projektu w okresie trwałości projektu, tj. w okresie 202</w:t>
            </w:r>
            <w:r>
              <w:rPr>
                <w:rFonts w:eastAsia="Calibri" w:cs="Times New Roman"/>
                <w:bCs/>
                <w:sz w:val="22"/>
                <w:szCs w:val="22"/>
                <w:lang w:eastAsia="en-US"/>
              </w:rPr>
              <w:t>4</w:t>
            </w:r>
            <w:r w:rsidRPr="004547D4">
              <w:rPr>
                <w:rFonts w:eastAsia="Calibri" w:cs="Times New Roman"/>
                <w:bCs/>
                <w:sz w:val="22"/>
                <w:szCs w:val="22"/>
                <w:lang w:eastAsia="en-US"/>
              </w:rPr>
              <w:t>–202</w:t>
            </w:r>
            <w:r>
              <w:rPr>
                <w:rFonts w:eastAsia="Calibri" w:cs="Times New Roman"/>
                <w:bCs/>
                <w:sz w:val="22"/>
                <w:szCs w:val="22"/>
                <w:lang w:eastAsia="en-US"/>
              </w:rPr>
              <w:t>8</w:t>
            </w:r>
            <w:r w:rsidRPr="004547D4">
              <w:rPr>
                <w:rFonts w:eastAsia="Calibri" w:cs="Times New Roman"/>
                <w:bCs/>
                <w:sz w:val="22"/>
                <w:szCs w:val="22"/>
                <w:lang w:eastAsia="en-US"/>
              </w:rPr>
              <w:t>.</w:t>
            </w:r>
          </w:p>
          <w:p w14:paraId="12B1162B" w14:textId="1CD7F0CE" w:rsidR="007532AB" w:rsidRPr="00207968" w:rsidRDefault="007532AB" w:rsidP="007532AB">
            <w:pPr>
              <w:widowControl/>
              <w:autoSpaceDE/>
              <w:autoSpaceDN/>
              <w:adjustRightInd/>
              <w:spacing w:line="240" w:lineRule="auto"/>
              <w:jc w:val="both"/>
              <w:rPr>
                <w:rFonts w:eastAsia="Calibri" w:cs="Times New Roman"/>
                <w:bCs/>
                <w:sz w:val="22"/>
                <w:szCs w:val="22"/>
                <w:lang w:eastAsia="en-US"/>
              </w:rPr>
            </w:pPr>
            <w:r w:rsidRPr="00207968">
              <w:rPr>
                <w:rFonts w:eastAsia="Calibri" w:cs="Times New Roman"/>
                <w:bCs/>
                <w:sz w:val="22"/>
                <w:szCs w:val="22"/>
                <w:lang w:eastAsia="en-US"/>
              </w:rPr>
              <w:t>Koszty zostały oszacowane na etapie oceny Opisu założeń projektu informatycznego przez Komitet ds. Cyfryzacji na kwotę 56 mln PLN. Na dalszych etapach prac nad dokumentacją, szacunki zostały doprecyzowane i przedstawione w dokumentacji aplikacyjnej w oparciu o przyjęte i zaakceptowane koszty w okresie realizacji projektu.</w:t>
            </w:r>
          </w:p>
          <w:p w14:paraId="08774973" w14:textId="57BD429B" w:rsidR="007532AB" w:rsidRPr="00207968" w:rsidRDefault="007532AB" w:rsidP="007532AB">
            <w:pPr>
              <w:widowControl/>
              <w:autoSpaceDE/>
              <w:autoSpaceDN/>
              <w:adjustRightInd/>
              <w:spacing w:line="240" w:lineRule="auto"/>
              <w:jc w:val="both"/>
              <w:rPr>
                <w:rFonts w:eastAsia="Calibri" w:cs="Times New Roman"/>
                <w:bCs/>
                <w:sz w:val="22"/>
                <w:szCs w:val="22"/>
                <w:lang w:eastAsia="en-US"/>
              </w:rPr>
            </w:pPr>
            <w:r w:rsidRPr="00207968">
              <w:rPr>
                <w:rFonts w:eastAsia="Calibri" w:cs="Times New Roman"/>
                <w:bCs/>
                <w:sz w:val="22"/>
                <w:szCs w:val="22"/>
                <w:lang w:eastAsia="en-US"/>
              </w:rPr>
              <w:t>W tabeli określającej skutki finansowe regulacji dla budżetu państwa uwzględniono koszty utrzymania projektu bez VAT.</w:t>
            </w:r>
          </w:p>
          <w:p w14:paraId="780DE8B0" w14:textId="5849753C" w:rsidR="007532AB" w:rsidRDefault="007532AB" w:rsidP="007532AB">
            <w:pPr>
              <w:widowControl/>
              <w:autoSpaceDE/>
              <w:autoSpaceDN/>
              <w:adjustRightInd/>
              <w:spacing w:before="120" w:after="120" w:line="240" w:lineRule="auto"/>
              <w:jc w:val="both"/>
              <w:rPr>
                <w:rFonts w:eastAsia="Calibri" w:cs="Times New Roman"/>
                <w:bCs/>
                <w:sz w:val="22"/>
                <w:szCs w:val="22"/>
                <w:lang w:eastAsia="en-US"/>
              </w:rPr>
            </w:pPr>
            <w:r w:rsidRPr="00207968">
              <w:rPr>
                <w:rFonts w:eastAsia="Calibri" w:cs="Times New Roman"/>
                <w:bCs/>
                <w:sz w:val="22"/>
                <w:szCs w:val="22"/>
                <w:lang w:eastAsia="en-US"/>
              </w:rPr>
              <w:t>W wyniku przeprowadzonych aktualizacji</w:t>
            </w:r>
            <w:r w:rsidRPr="00207968">
              <w:rPr>
                <w:rStyle w:val="Odwoanieprzypisudolnego"/>
                <w:rFonts w:eastAsia="Calibri"/>
                <w:bCs/>
                <w:sz w:val="22"/>
                <w:szCs w:val="22"/>
                <w:lang w:eastAsia="en-US"/>
              </w:rPr>
              <w:footnoteReference w:id="1"/>
            </w:r>
            <w:r w:rsidRPr="00BB2A0E">
              <w:rPr>
                <w:rFonts w:eastAsia="Calibri" w:cs="Times New Roman"/>
                <w:bCs/>
                <w:sz w:val="22"/>
                <w:szCs w:val="22"/>
                <w:lang w:eastAsia="en-US"/>
              </w:rPr>
              <w:t>, poniżej przedstawiono zestawienie zbiorcze szacowanych kosztów utrzymania trwałości projektu w okresie trwałości projektu</w:t>
            </w:r>
            <w:r w:rsidRPr="00207968">
              <w:rPr>
                <w:rFonts w:eastAsia="Calibri" w:cs="Times New Roman"/>
                <w:bCs/>
                <w:sz w:val="22"/>
                <w:szCs w:val="22"/>
                <w:lang w:eastAsia="en-US"/>
              </w:rPr>
              <w:t>:</w:t>
            </w:r>
          </w:p>
          <w:p w14:paraId="7299FFAA" w14:textId="32E3F143" w:rsidR="007532AB" w:rsidRDefault="007532AB" w:rsidP="007532AB">
            <w:pPr>
              <w:widowControl/>
              <w:autoSpaceDE/>
              <w:autoSpaceDN/>
              <w:adjustRightInd/>
              <w:spacing w:before="120" w:after="120" w:line="240" w:lineRule="auto"/>
              <w:jc w:val="both"/>
              <w:rPr>
                <w:rFonts w:eastAsia="Calibri" w:cs="Times New Roman"/>
                <w:bCs/>
                <w:sz w:val="22"/>
                <w:szCs w:val="22"/>
                <w:lang w:eastAsia="en-US"/>
              </w:rPr>
            </w:pPr>
            <w:r w:rsidRPr="005A1257">
              <w:rPr>
                <w:rFonts w:eastAsia="Calibri" w:cs="Times New Roman"/>
                <w:b/>
                <w:sz w:val="22"/>
                <w:szCs w:val="22"/>
                <w:lang w:eastAsia="en-US"/>
              </w:rPr>
              <w:t>Szacowane koszty w podziale na kategorie wydatków</w:t>
            </w:r>
          </w:p>
          <w:p w14:paraId="64A9CD6C" w14:textId="1B40E0AF" w:rsidR="007532AB" w:rsidRDefault="007532AB" w:rsidP="007532AB">
            <w:pPr>
              <w:widowControl/>
              <w:autoSpaceDE/>
              <w:autoSpaceDN/>
              <w:adjustRightInd/>
              <w:spacing w:line="240" w:lineRule="auto"/>
              <w:jc w:val="both"/>
              <w:rPr>
                <w:rFonts w:eastAsia="Calibri" w:cs="Times New Roman"/>
                <w:bCs/>
                <w:sz w:val="22"/>
                <w:szCs w:val="22"/>
                <w:lang w:eastAsia="en-US"/>
              </w:rPr>
            </w:pPr>
            <w:r>
              <w:rPr>
                <w:noProof/>
              </w:rPr>
              <w:drawing>
                <wp:inline distT="0" distB="0" distL="0" distR="0" wp14:anchorId="22F85871" wp14:editId="2C65A9BD">
                  <wp:extent cx="4919980" cy="28670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19980" cy="2867025"/>
                          </a:xfrm>
                          <a:prstGeom prst="rect">
                            <a:avLst/>
                          </a:prstGeom>
                        </pic:spPr>
                      </pic:pic>
                    </a:graphicData>
                  </a:graphic>
                </wp:inline>
              </w:drawing>
            </w:r>
          </w:p>
          <w:p w14:paraId="6AA75EA0" w14:textId="77777777" w:rsidR="007532AB" w:rsidRDefault="007532AB" w:rsidP="007532AB">
            <w:pPr>
              <w:widowControl/>
              <w:autoSpaceDE/>
              <w:autoSpaceDN/>
              <w:adjustRightInd/>
              <w:spacing w:line="240" w:lineRule="auto"/>
              <w:jc w:val="both"/>
              <w:rPr>
                <w:rFonts w:eastAsia="Calibri" w:cs="Times New Roman"/>
                <w:bCs/>
                <w:sz w:val="22"/>
                <w:szCs w:val="22"/>
                <w:lang w:eastAsia="en-US"/>
              </w:rPr>
            </w:pPr>
          </w:p>
          <w:p w14:paraId="6BE15FE3" w14:textId="1BC188BC" w:rsidR="007532AB" w:rsidRDefault="007532AB" w:rsidP="007532AB">
            <w:pPr>
              <w:widowControl/>
              <w:autoSpaceDE/>
              <w:autoSpaceDN/>
              <w:adjustRightInd/>
              <w:spacing w:line="240" w:lineRule="auto"/>
              <w:jc w:val="both"/>
              <w:rPr>
                <w:rFonts w:eastAsia="Calibri" w:cs="Times New Roman"/>
                <w:bCs/>
                <w:sz w:val="22"/>
                <w:szCs w:val="22"/>
                <w:lang w:eastAsia="en-US"/>
              </w:rPr>
            </w:pPr>
            <w:r w:rsidRPr="00BB78B1">
              <w:rPr>
                <w:rFonts w:eastAsia="Calibri" w:cs="Times New Roman"/>
                <w:bCs/>
                <w:sz w:val="22"/>
                <w:szCs w:val="22"/>
                <w:lang w:eastAsia="en-US"/>
              </w:rPr>
              <w:t>Szczegółowa kalkulacja kosztów utrzymania efektów realizacji projektu „Usługi cyfrowe dla bezzałogowych statków powietrznych” w okresie 5 lat od zakończ</w:t>
            </w:r>
            <w:r>
              <w:rPr>
                <w:rFonts w:eastAsia="Calibri" w:cs="Times New Roman"/>
                <w:bCs/>
                <w:sz w:val="22"/>
                <w:szCs w:val="22"/>
                <w:lang w:eastAsia="en-US"/>
              </w:rPr>
              <w:t>enia realizacji projektu została zamieszczona</w:t>
            </w:r>
            <w:r w:rsidRPr="00BB78B1">
              <w:rPr>
                <w:rFonts w:eastAsia="Calibri" w:cs="Times New Roman"/>
                <w:bCs/>
                <w:sz w:val="22"/>
                <w:szCs w:val="22"/>
                <w:lang w:eastAsia="en-US"/>
              </w:rPr>
              <w:t xml:space="preserve"> w załączniku nr 1 do OSR.</w:t>
            </w:r>
          </w:p>
          <w:p w14:paraId="2E54EE9B" w14:textId="1C5B0BD3" w:rsidR="007532AB" w:rsidRDefault="007532AB" w:rsidP="007532AB">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 xml:space="preserve"> </w:t>
            </w:r>
          </w:p>
          <w:p w14:paraId="5021A578" w14:textId="2A676652" w:rsidR="007532AB" w:rsidRPr="00493E19" w:rsidRDefault="007532AB" w:rsidP="007532AB">
            <w:pPr>
              <w:widowControl/>
              <w:autoSpaceDE/>
              <w:autoSpaceDN/>
              <w:adjustRightInd/>
              <w:spacing w:line="240" w:lineRule="auto"/>
              <w:jc w:val="both"/>
              <w:rPr>
                <w:rFonts w:eastAsia="Calibri" w:cs="Times New Roman"/>
                <w:b/>
                <w:bCs/>
                <w:sz w:val="22"/>
                <w:szCs w:val="22"/>
                <w:u w:val="single"/>
                <w:lang w:eastAsia="en-US"/>
              </w:rPr>
            </w:pPr>
            <w:r>
              <w:rPr>
                <w:rFonts w:eastAsia="Calibri" w:cs="Times New Roman"/>
                <w:b/>
                <w:bCs/>
                <w:sz w:val="22"/>
                <w:szCs w:val="22"/>
                <w:u w:val="single"/>
                <w:lang w:eastAsia="en-US"/>
              </w:rPr>
              <w:t>4</w:t>
            </w:r>
            <w:r w:rsidRPr="00493E19">
              <w:rPr>
                <w:rFonts w:eastAsia="Calibri" w:cs="Times New Roman"/>
                <w:b/>
                <w:bCs/>
                <w:sz w:val="22"/>
                <w:szCs w:val="22"/>
                <w:u w:val="single"/>
                <w:lang w:eastAsia="en-US"/>
              </w:rPr>
              <w:t>) JST, służby państwowe i porządkowe: wydatki związane z wnioskowaniem o</w:t>
            </w:r>
            <w:r w:rsidR="00072270">
              <w:rPr>
                <w:rFonts w:eastAsia="Calibri" w:cs="Times New Roman"/>
                <w:b/>
                <w:bCs/>
                <w:sz w:val="22"/>
                <w:szCs w:val="22"/>
                <w:u w:val="single"/>
                <w:lang w:eastAsia="en-US"/>
              </w:rPr>
              <w:t> </w:t>
            </w:r>
            <w:r w:rsidRPr="00493E19">
              <w:rPr>
                <w:rFonts w:eastAsia="Calibri" w:cs="Times New Roman"/>
                <w:b/>
                <w:bCs/>
                <w:sz w:val="22"/>
                <w:szCs w:val="22"/>
                <w:u w:val="single"/>
                <w:lang w:eastAsia="en-US"/>
              </w:rPr>
              <w:t>wyznaczenie stref geograficznych</w:t>
            </w:r>
          </w:p>
          <w:p w14:paraId="0DCD670E" w14:textId="61CAB4E2" w:rsidR="007532AB" w:rsidRPr="001822E6" w:rsidRDefault="007532AB" w:rsidP="00072270">
            <w:pPr>
              <w:widowControl/>
              <w:autoSpaceDE/>
              <w:autoSpaceDN/>
              <w:adjustRightInd/>
              <w:spacing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 xml:space="preserve">Projekt ustawy zakłada, że z wnioskiem o wyznaczenie strefy geograficznej </w:t>
            </w:r>
            <w:r>
              <w:rPr>
                <w:rFonts w:eastAsia="Calibri" w:cs="Times New Roman"/>
                <w:bCs/>
                <w:sz w:val="22"/>
                <w:szCs w:val="22"/>
                <w:lang w:eastAsia="en-US"/>
              </w:rPr>
              <w:t xml:space="preserve">dla BSP, przedłużeniem obowiązywania strefy geograficznej dla BSP oraz ponownym wyznaczenie strefy geograficznej dla BSP </w:t>
            </w:r>
            <w:r w:rsidRPr="004547D4">
              <w:rPr>
                <w:rFonts w:eastAsia="Calibri" w:cs="Times New Roman"/>
                <w:bCs/>
                <w:sz w:val="22"/>
                <w:szCs w:val="22"/>
                <w:lang w:eastAsia="en-US"/>
              </w:rPr>
              <w:t xml:space="preserve">będą mogły występować określone podmioty, w tym </w:t>
            </w:r>
            <w:r>
              <w:rPr>
                <w:rFonts w:eastAsia="Calibri" w:cs="Times New Roman"/>
                <w:bCs/>
                <w:sz w:val="22"/>
                <w:szCs w:val="22"/>
                <w:lang w:eastAsia="en-US"/>
              </w:rPr>
              <w:t>służby państwowe i porządkowe</w:t>
            </w:r>
            <w:r w:rsidRPr="004547D4">
              <w:rPr>
                <w:rFonts w:eastAsia="Calibri" w:cs="Times New Roman"/>
                <w:bCs/>
                <w:sz w:val="22"/>
                <w:szCs w:val="22"/>
                <w:lang w:eastAsia="en-US"/>
              </w:rPr>
              <w:t xml:space="preserve">. Każdy z podmiotów wnioskujących będzie zobowiązany do wniesienia opłaty za czynności związane z wyznaczeniem strefy geograficznej </w:t>
            </w:r>
            <w:r>
              <w:rPr>
                <w:rFonts w:eastAsia="Calibri" w:cs="Times New Roman"/>
                <w:bCs/>
                <w:sz w:val="22"/>
                <w:szCs w:val="22"/>
                <w:lang w:eastAsia="en-US"/>
              </w:rPr>
              <w:t xml:space="preserve">dla BSP </w:t>
            </w:r>
            <w:r w:rsidRPr="004547D4">
              <w:rPr>
                <w:rFonts w:eastAsia="Calibri" w:cs="Times New Roman"/>
                <w:bCs/>
                <w:sz w:val="22"/>
                <w:szCs w:val="22"/>
                <w:lang w:eastAsia="en-US"/>
              </w:rPr>
              <w:t>w wysokości określonej w projektowanych przepisach. Projekt ustawy nie zakłada zwolnienia z obowiązku ponoszenia opłat za czynności związane z</w:t>
            </w:r>
            <w:r w:rsidR="00072270">
              <w:rPr>
                <w:rFonts w:eastAsia="Calibri" w:cs="Times New Roman"/>
                <w:bCs/>
                <w:sz w:val="22"/>
                <w:szCs w:val="22"/>
                <w:lang w:eastAsia="en-US"/>
              </w:rPr>
              <w:t> </w:t>
            </w:r>
            <w:r w:rsidRPr="004547D4">
              <w:rPr>
                <w:rFonts w:eastAsia="Calibri" w:cs="Times New Roman"/>
                <w:bCs/>
                <w:sz w:val="22"/>
                <w:szCs w:val="22"/>
                <w:lang w:eastAsia="en-US"/>
              </w:rPr>
              <w:t>wyznaczaniem stref geograficznych żadnej kategorii podmiotów, gdyż powodowałoby to konieczność przyznania PAŻP dotacji celowej reko</w:t>
            </w:r>
            <w:r w:rsidR="00072270">
              <w:rPr>
                <w:rFonts w:eastAsia="Calibri" w:cs="Times New Roman"/>
                <w:bCs/>
                <w:sz w:val="22"/>
                <w:szCs w:val="22"/>
                <w:lang w:eastAsia="en-US"/>
              </w:rPr>
              <w:t>mpensującej koszty poniesione w </w:t>
            </w:r>
            <w:r w:rsidRPr="004547D4">
              <w:rPr>
                <w:rFonts w:eastAsia="Calibri" w:cs="Times New Roman"/>
                <w:bCs/>
                <w:sz w:val="22"/>
                <w:szCs w:val="22"/>
                <w:lang w:eastAsia="en-US"/>
              </w:rPr>
              <w:t>związku z realizacją tych czynności.</w:t>
            </w:r>
            <w:r>
              <w:rPr>
                <w:rFonts w:eastAsia="Calibri" w:cs="Times New Roman"/>
                <w:bCs/>
                <w:sz w:val="22"/>
                <w:szCs w:val="22"/>
                <w:lang w:eastAsia="en-US"/>
              </w:rPr>
              <w:t xml:space="preserve"> </w:t>
            </w:r>
            <w:r w:rsidRPr="004547D4">
              <w:rPr>
                <w:rFonts w:eastAsia="Calibri" w:cs="Times New Roman"/>
                <w:bCs/>
                <w:sz w:val="22"/>
                <w:szCs w:val="22"/>
                <w:lang w:eastAsia="en-US"/>
              </w:rPr>
              <w:t xml:space="preserve">W związku z tym powstaje konieczność zabezpieczenia środków w budżetach instytucji publicznych, które będą uprawnione do występowania z ww. wnioskiem. Środki te zostaną zabezpieczone w ramach limitów przyznanych poszczególnym instytucjom. </w:t>
            </w:r>
            <w:r>
              <w:rPr>
                <w:rFonts w:eastAsia="Calibri" w:cs="Times New Roman"/>
                <w:bCs/>
                <w:sz w:val="22"/>
                <w:szCs w:val="22"/>
                <w:lang w:eastAsia="en-US"/>
              </w:rPr>
              <w:t xml:space="preserve">Konieczność ponoszenia opłat nie będzie stanowiła podstawy o ubiegania się od dodatkowe środki z budżetu państwa. </w:t>
            </w:r>
          </w:p>
        </w:tc>
      </w:tr>
      <w:tr w:rsidR="007532AB" w:rsidRPr="004547D4" w14:paraId="7B98E350" w14:textId="77777777" w:rsidTr="0039465C">
        <w:trPr>
          <w:trHeight w:val="345"/>
        </w:trPr>
        <w:tc>
          <w:tcPr>
            <w:tcW w:w="10207" w:type="dxa"/>
            <w:gridSpan w:val="26"/>
            <w:shd w:val="clear" w:color="auto" w:fill="99CCFF"/>
          </w:tcPr>
          <w:p w14:paraId="7718559A" w14:textId="77777777" w:rsidR="007532AB" w:rsidRPr="004547D4" w:rsidRDefault="007532AB" w:rsidP="007532AB">
            <w:pPr>
              <w:widowControl/>
              <w:numPr>
                <w:ilvl w:val="0"/>
                <w:numId w:val="1"/>
              </w:numPr>
              <w:autoSpaceDE/>
              <w:autoSpaceDN/>
              <w:adjustRightInd/>
              <w:spacing w:before="120" w:after="120" w:line="240" w:lineRule="auto"/>
              <w:jc w:val="both"/>
              <w:rPr>
                <w:rFonts w:eastAsia="Calibri" w:cs="Times New Roman"/>
                <w:b/>
                <w:spacing w:val="-2"/>
                <w:sz w:val="22"/>
                <w:szCs w:val="22"/>
                <w:lang w:eastAsia="en-US"/>
              </w:rPr>
            </w:pPr>
            <w:r w:rsidRPr="004547D4">
              <w:rPr>
                <w:rFonts w:eastAsia="Calibri" w:cs="Times New Roman"/>
                <w:b/>
                <w:spacing w:val="-2"/>
                <w:sz w:val="22"/>
                <w:szCs w:val="22"/>
                <w:lang w:eastAsia="en-US"/>
              </w:rPr>
              <w:t xml:space="preserve">Wpływ na </w:t>
            </w:r>
            <w:r w:rsidRPr="004547D4">
              <w:rPr>
                <w:rFonts w:eastAsia="Calibri" w:cs="Times New Roman"/>
                <w:b/>
                <w:sz w:val="22"/>
                <w:szCs w:val="22"/>
                <w:lang w:eastAsia="en-US"/>
              </w:rPr>
              <w:t xml:space="preserve">konkurencyjność gospodarki i przedsiębiorczość, w tym funkcjonowanie przedsiębiorców oraz na rodzinę, obywateli i gospodarstwa domowe </w:t>
            </w:r>
          </w:p>
        </w:tc>
      </w:tr>
      <w:tr w:rsidR="007532AB" w:rsidRPr="004547D4" w14:paraId="6DD083AD" w14:textId="77777777" w:rsidTr="0039465C">
        <w:trPr>
          <w:trHeight w:val="142"/>
        </w:trPr>
        <w:tc>
          <w:tcPr>
            <w:tcW w:w="10207" w:type="dxa"/>
            <w:gridSpan w:val="26"/>
            <w:shd w:val="clear" w:color="auto" w:fill="FFFFFF" w:themeFill="background1"/>
          </w:tcPr>
          <w:p w14:paraId="33556355" w14:textId="77777777" w:rsidR="007532AB" w:rsidRPr="004547D4" w:rsidRDefault="007532AB" w:rsidP="007532AB">
            <w:pPr>
              <w:widowControl/>
              <w:autoSpaceDE/>
              <w:autoSpaceDN/>
              <w:adjustRightInd/>
              <w:spacing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Skutki</w:t>
            </w:r>
          </w:p>
        </w:tc>
      </w:tr>
      <w:tr w:rsidR="007532AB" w:rsidRPr="004547D4" w14:paraId="30087FF8" w14:textId="77777777" w:rsidTr="0039465C">
        <w:trPr>
          <w:trHeight w:val="142"/>
        </w:trPr>
        <w:tc>
          <w:tcPr>
            <w:tcW w:w="3889" w:type="dxa"/>
            <w:gridSpan w:val="6"/>
            <w:shd w:val="clear" w:color="auto" w:fill="FFFFFF" w:themeFill="background1"/>
          </w:tcPr>
          <w:p w14:paraId="73586ED8"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Czas w latach od wejścia w życie zmian</w:t>
            </w:r>
          </w:p>
        </w:tc>
        <w:tc>
          <w:tcPr>
            <w:tcW w:w="677" w:type="dxa"/>
            <w:gridSpan w:val="2"/>
            <w:shd w:val="clear" w:color="auto" w:fill="FFFFFF" w:themeFill="background1"/>
          </w:tcPr>
          <w:p w14:paraId="22A13CFF" w14:textId="77777777" w:rsidR="007532AB" w:rsidRPr="004547D4" w:rsidRDefault="007532AB" w:rsidP="007532AB">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0</w:t>
            </w:r>
          </w:p>
        </w:tc>
        <w:tc>
          <w:tcPr>
            <w:tcW w:w="1198" w:type="dxa"/>
            <w:gridSpan w:val="4"/>
            <w:shd w:val="clear" w:color="auto" w:fill="FFFFFF" w:themeFill="background1"/>
          </w:tcPr>
          <w:p w14:paraId="1EADC51A" w14:textId="77777777" w:rsidR="007532AB" w:rsidRPr="004547D4" w:rsidRDefault="007532AB" w:rsidP="007532AB">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w:t>
            </w:r>
          </w:p>
        </w:tc>
        <w:tc>
          <w:tcPr>
            <w:tcW w:w="938" w:type="dxa"/>
            <w:gridSpan w:val="3"/>
            <w:shd w:val="clear" w:color="auto" w:fill="FFFFFF" w:themeFill="background1"/>
          </w:tcPr>
          <w:p w14:paraId="0B6F2E58" w14:textId="77777777" w:rsidR="007532AB" w:rsidRPr="004547D4" w:rsidRDefault="007532AB" w:rsidP="007532AB">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2</w:t>
            </w:r>
          </w:p>
        </w:tc>
        <w:tc>
          <w:tcPr>
            <w:tcW w:w="937" w:type="dxa"/>
            <w:gridSpan w:val="4"/>
            <w:shd w:val="clear" w:color="auto" w:fill="FFFFFF" w:themeFill="background1"/>
          </w:tcPr>
          <w:p w14:paraId="4351ACC7" w14:textId="77777777" w:rsidR="007532AB" w:rsidRPr="004547D4" w:rsidRDefault="007532AB" w:rsidP="007532AB">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3</w:t>
            </w:r>
          </w:p>
        </w:tc>
        <w:tc>
          <w:tcPr>
            <w:tcW w:w="938" w:type="dxa"/>
            <w:gridSpan w:val="3"/>
            <w:shd w:val="clear" w:color="auto" w:fill="FFFFFF" w:themeFill="background1"/>
          </w:tcPr>
          <w:p w14:paraId="2F5E1AB9" w14:textId="77777777" w:rsidR="007532AB" w:rsidRPr="004547D4" w:rsidRDefault="007532AB" w:rsidP="007532AB">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5</w:t>
            </w:r>
          </w:p>
        </w:tc>
        <w:tc>
          <w:tcPr>
            <w:tcW w:w="938" w:type="dxa"/>
            <w:gridSpan w:val="3"/>
            <w:shd w:val="clear" w:color="auto" w:fill="FFFFFF" w:themeFill="background1"/>
          </w:tcPr>
          <w:p w14:paraId="4833E92C" w14:textId="77777777" w:rsidR="007532AB" w:rsidRPr="004547D4" w:rsidRDefault="007532AB" w:rsidP="007532AB">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10</w:t>
            </w:r>
          </w:p>
        </w:tc>
        <w:tc>
          <w:tcPr>
            <w:tcW w:w="692" w:type="dxa"/>
            <w:shd w:val="clear" w:color="auto" w:fill="FFFFFF" w:themeFill="background1"/>
          </w:tcPr>
          <w:p w14:paraId="0A851F25" w14:textId="77777777" w:rsidR="007532AB" w:rsidRPr="004547D4" w:rsidRDefault="007532AB" w:rsidP="007532AB">
            <w:pPr>
              <w:widowControl/>
              <w:autoSpaceDE/>
              <w:autoSpaceDN/>
              <w:adjustRightInd/>
              <w:spacing w:line="240" w:lineRule="auto"/>
              <w:jc w:val="center"/>
              <w:rPr>
                <w:rFonts w:eastAsia="Calibri" w:cs="Times New Roman"/>
                <w:i/>
                <w:spacing w:val="-2"/>
                <w:sz w:val="22"/>
                <w:szCs w:val="22"/>
                <w:lang w:eastAsia="en-US"/>
              </w:rPr>
            </w:pPr>
            <w:r w:rsidRPr="004547D4">
              <w:rPr>
                <w:rFonts w:eastAsia="Calibri" w:cs="Times New Roman"/>
                <w:i/>
                <w:spacing w:val="-2"/>
                <w:sz w:val="22"/>
                <w:szCs w:val="22"/>
                <w:lang w:eastAsia="en-US"/>
              </w:rPr>
              <w:t>Łącznie</w:t>
            </w:r>
            <w:r w:rsidRPr="004547D4" w:rsidDel="0073273A">
              <w:rPr>
                <w:rFonts w:eastAsia="Calibri" w:cs="Times New Roman"/>
                <w:i/>
                <w:spacing w:val="-2"/>
                <w:sz w:val="22"/>
                <w:szCs w:val="22"/>
                <w:lang w:eastAsia="en-US"/>
              </w:rPr>
              <w:t xml:space="preserve"> </w:t>
            </w:r>
            <w:r w:rsidRPr="004547D4">
              <w:rPr>
                <w:rFonts w:eastAsia="Calibri" w:cs="Times New Roman"/>
                <w:i/>
                <w:spacing w:val="-2"/>
                <w:sz w:val="22"/>
                <w:szCs w:val="22"/>
                <w:lang w:eastAsia="en-US"/>
              </w:rPr>
              <w:t>(0-10)</w:t>
            </w:r>
          </w:p>
        </w:tc>
      </w:tr>
      <w:tr w:rsidR="007532AB" w:rsidRPr="004547D4" w14:paraId="649CFC5D" w14:textId="77777777" w:rsidTr="0039465C">
        <w:trPr>
          <w:trHeight w:val="142"/>
        </w:trPr>
        <w:tc>
          <w:tcPr>
            <w:tcW w:w="1596" w:type="dxa"/>
            <w:vMerge w:val="restart"/>
            <w:shd w:val="clear" w:color="auto" w:fill="FFFFFF" w:themeFill="background1"/>
          </w:tcPr>
          <w:p w14:paraId="51222968" w14:textId="77777777" w:rsidR="007532AB" w:rsidRPr="004547D4" w:rsidRDefault="007532AB" w:rsidP="007532AB">
            <w:pPr>
              <w:widowControl/>
              <w:autoSpaceDE/>
              <w:autoSpaceDN/>
              <w:adjustRightInd/>
              <w:spacing w:line="276" w:lineRule="auto"/>
              <w:rPr>
                <w:rFonts w:eastAsia="Calibri" w:cs="Times New Roman"/>
                <w:sz w:val="22"/>
                <w:szCs w:val="22"/>
                <w:lang w:eastAsia="en-US"/>
              </w:rPr>
            </w:pPr>
            <w:r w:rsidRPr="004547D4">
              <w:rPr>
                <w:rFonts w:eastAsia="Calibri" w:cs="Times New Roman"/>
                <w:sz w:val="22"/>
                <w:szCs w:val="22"/>
                <w:lang w:eastAsia="en-US"/>
              </w:rPr>
              <w:t>W ujęciu pieniężnym</w:t>
            </w:r>
          </w:p>
          <w:p w14:paraId="269B4C3B" w14:textId="77777777" w:rsidR="007532AB" w:rsidRPr="004547D4" w:rsidRDefault="007532AB" w:rsidP="007532AB">
            <w:pPr>
              <w:widowControl/>
              <w:autoSpaceDE/>
              <w:autoSpaceDN/>
              <w:adjustRightInd/>
              <w:spacing w:line="276"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(w mln zł, </w:t>
            </w:r>
          </w:p>
          <w:p w14:paraId="2EC837EB" w14:textId="4B61AD93"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pacing w:val="-2"/>
                <w:sz w:val="22"/>
                <w:szCs w:val="22"/>
                <w:lang w:eastAsia="en-US"/>
              </w:rPr>
              <w:t>ceny stałe z 202</w:t>
            </w:r>
            <w:r>
              <w:rPr>
                <w:rFonts w:eastAsia="Calibri" w:cs="Times New Roman"/>
                <w:spacing w:val="-2"/>
                <w:sz w:val="22"/>
                <w:szCs w:val="22"/>
                <w:lang w:eastAsia="en-US"/>
              </w:rPr>
              <w:t>3</w:t>
            </w:r>
            <w:r w:rsidRPr="004547D4">
              <w:rPr>
                <w:rFonts w:eastAsia="Calibri" w:cs="Times New Roman"/>
                <w:spacing w:val="-2"/>
                <w:sz w:val="22"/>
                <w:szCs w:val="22"/>
                <w:lang w:eastAsia="en-US"/>
              </w:rPr>
              <w:t xml:space="preserve"> r.)</w:t>
            </w:r>
          </w:p>
        </w:tc>
        <w:tc>
          <w:tcPr>
            <w:tcW w:w="2293" w:type="dxa"/>
            <w:gridSpan w:val="5"/>
            <w:shd w:val="clear" w:color="auto" w:fill="FFFFFF" w:themeFill="background1"/>
          </w:tcPr>
          <w:p w14:paraId="52160CF5" w14:textId="77777777" w:rsidR="007532AB" w:rsidRPr="000364C4" w:rsidRDefault="007532AB" w:rsidP="007532AB">
            <w:pPr>
              <w:widowControl/>
              <w:autoSpaceDE/>
              <w:autoSpaceDN/>
              <w:adjustRightInd/>
              <w:spacing w:line="240" w:lineRule="auto"/>
              <w:rPr>
                <w:rFonts w:eastAsia="Calibri" w:cs="Times New Roman"/>
                <w:sz w:val="22"/>
                <w:szCs w:val="22"/>
                <w:highlight w:val="yellow"/>
                <w:lang w:eastAsia="en-US"/>
              </w:rPr>
            </w:pPr>
            <w:r w:rsidRPr="00DB14CB">
              <w:rPr>
                <w:rFonts w:eastAsia="Calibri" w:cs="Times New Roman"/>
                <w:sz w:val="22"/>
                <w:szCs w:val="22"/>
                <w:lang w:eastAsia="en-US"/>
              </w:rPr>
              <w:t>duże przedsiębiorstwa</w:t>
            </w:r>
          </w:p>
        </w:tc>
        <w:tc>
          <w:tcPr>
            <w:tcW w:w="677" w:type="dxa"/>
            <w:gridSpan w:val="2"/>
            <w:shd w:val="clear" w:color="auto" w:fill="FFFFFF" w:themeFill="background1"/>
            <w:vAlign w:val="center"/>
          </w:tcPr>
          <w:p w14:paraId="32FC03FF" w14:textId="7E65DAA3"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w:t>
            </w:r>
            <w:r w:rsidR="0039465C" w:rsidRPr="0039465C">
              <w:rPr>
                <w:rFonts w:eastAsia="Calibri" w:cs="Times New Roman"/>
                <w:sz w:val="20"/>
                <w:lang w:eastAsia="en-US"/>
              </w:rPr>
              <w:t>0,56</w:t>
            </w:r>
          </w:p>
        </w:tc>
        <w:tc>
          <w:tcPr>
            <w:tcW w:w="1198" w:type="dxa"/>
            <w:gridSpan w:val="4"/>
            <w:shd w:val="clear" w:color="auto" w:fill="FFFFFF" w:themeFill="background1"/>
            <w:vAlign w:val="center"/>
          </w:tcPr>
          <w:p w14:paraId="0932242F" w14:textId="1BBF9CC1"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r w:rsidR="0039465C" w:rsidRPr="0039465C">
              <w:rPr>
                <w:rFonts w:eastAsia="Calibri" w:cs="Times New Roman"/>
                <w:sz w:val="20"/>
                <w:lang w:eastAsia="en-US"/>
              </w:rPr>
              <w:t>62</w:t>
            </w:r>
          </w:p>
        </w:tc>
        <w:tc>
          <w:tcPr>
            <w:tcW w:w="938" w:type="dxa"/>
            <w:gridSpan w:val="3"/>
            <w:shd w:val="clear" w:color="auto" w:fill="FFFFFF" w:themeFill="background1"/>
            <w:vAlign w:val="center"/>
          </w:tcPr>
          <w:p w14:paraId="63A2CAAE" w14:textId="1EB7706A"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r w:rsidR="0039465C" w:rsidRPr="0039465C">
              <w:rPr>
                <w:rFonts w:eastAsia="Calibri" w:cs="Times New Roman"/>
                <w:sz w:val="20"/>
                <w:lang w:eastAsia="en-US"/>
              </w:rPr>
              <w:t>69</w:t>
            </w:r>
          </w:p>
        </w:tc>
        <w:tc>
          <w:tcPr>
            <w:tcW w:w="937" w:type="dxa"/>
            <w:gridSpan w:val="4"/>
            <w:shd w:val="clear" w:color="auto" w:fill="FFFFFF" w:themeFill="background1"/>
            <w:vAlign w:val="center"/>
          </w:tcPr>
          <w:p w14:paraId="77466A78" w14:textId="14980AFB"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r w:rsidR="0039465C" w:rsidRPr="0039465C">
              <w:rPr>
                <w:rFonts w:eastAsia="Calibri" w:cs="Times New Roman"/>
                <w:sz w:val="20"/>
                <w:lang w:eastAsia="en-US"/>
              </w:rPr>
              <w:t>76</w:t>
            </w:r>
          </w:p>
        </w:tc>
        <w:tc>
          <w:tcPr>
            <w:tcW w:w="938" w:type="dxa"/>
            <w:gridSpan w:val="3"/>
            <w:shd w:val="clear" w:color="auto" w:fill="FFFFFF" w:themeFill="background1"/>
            <w:vAlign w:val="center"/>
          </w:tcPr>
          <w:p w14:paraId="636F880F" w14:textId="3B75C831"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r w:rsidR="0039465C" w:rsidRPr="0039465C">
              <w:rPr>
                <w:rFonts w:eastAsia="Calibri" w:cs="Times New Roman"/>
                <w:sz w:val="20"/>
                <w:lang w:eastAsia="en-US"/>
              </w:rPr>
              <w:t>96</w:t>
            </w:r>
          </w:p>
        </w:tc>
        <w:tc>
          <w:tcPr>
            <w:tcW w:w="938" w:type="dxa"/>
            <w:gridSpan w:val="3"/>
            <w:shd w:val="clear" w:color="auto" w:fill="FFFFFF" w:themeFill="background1"/>
            <w:vAlign w:val="center"/>
          </w:tcPr>
          <w:p w14:paraId="48C39B10" w14:textId="5AE7BC63"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w:t>
            </w:r>
            <w:r w:rsidR="0039465C" w:rsidRPr="0039465C">
              <w:rPr>
                <w:rFonts w:eastAsia="Calibri" w:cs="Times New Roman"/>
                <w:sz w:val="20"/>
                <w:lang w:eastAsia="en-US"/>
              </w:rPr>
              <w:t>1,78</w:t>
            </w:r>
          </w:p>
        </w:tc>
        <w:tc>
          <w:tcPr>
            <w:tcW w:w="692" w:type="dxa"/>
            <w:shd w:val="clear" w:color="auto" w:fill="FFFFFF" w:themeFill="background1"/>
            <w:vAlign w:val="center"/>
          </w:tcPr>
          <w:p w14:paraId="13209912" w14:textId="6E7A786E" w:rsidR="007532AB" w:rsidRPr="0039465C" w:rsidRDefault="007532AB" w:rsidP="0039465C">
            <w:pPr>
              <w:widowControl/>
              <w:autoSpaceDE/>
              <w:autoSpaceDN/>
              <w:adjustRightInd/>
              <w:spacing w:line="240" w:lineRule="auto"/>
              <w:jc w:val="center"/>
              <w:rPr>
                <w:rFonts w:eastAsia="Calibri" w:cs="Times New Roman"/>
                <w:spacing w:val="-2"/>
                <w:sz w:val="20"/>
                <w:lang w:eastAsia="en-US"/>
              </w:rPr>
            </w:pPr>
            <w:r w:rsidRPr="0039465C">
              <w:rPr>
                <w:rFonts w:eastAsia="Calibri" w:cs="Times New Roman"/>
                <w:spacing w:val="-2"/>
                <w:sz w:val="20"/>
                <w:lang w:eastAsia="en-US"/>
              </w:rPr>
              <w:t>-</w:t>
            </w:r>
            <w:r w:rsidR="0039465C" w:rsidRPr="0039465C">
              <w:rPr>
                <w:rFonts w:eastAsia="Calibri" w:cs="Times New Roman"/>
                <w:spacing w:val="-2"/>
                <w:sz w:val="20"/>
                <w:lang w:eastAsia="en-US"/>
              </w:rPr>
              <w:t>11,48</w:t>
            </w:r>
          </w:p>
        </w:tc>
      </w:tr>
      <w:tr w:rsidR="007532AB" w:rsidRPr="004547D4" w14:paraId="16570860" w14:textId="77777777" w:rsidTr="0039465C">
        <w:trPr>
          <w:trHeight w:val="142"/>
        </w:trPr>
        <w:tc>
          <w:tcPr>
            <w:tcW w:w="1596" w:type="dxa"/>
            <w:vMerge/>
          </w:tcPr>
          <w:p w14:paraId="758A57CB"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5757090C"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sektor mikro-, małych i średnich przedsiębiorstw</w:t>
            </w:r>
          </w:p>
        </w:tc>
        <w:tc>
          <w:tcPr>
            <w:tcW w:w="677" w:type="dxa"/>
            <w:gridSpan w:val="2"/>
            <w:shd w:val="clear" w:color="auto" w:fill="FFFFFF" w:themeFill="background1"/>
            <w:vAlign w:val="center"/>
          </w:tcPr>
          <w:p w14:paraId="4102E667" w14:textId="02B2CD2B"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0,5</w:t>
            </w:r>
          </w:p>
        </w:tc>
        <w:tc>
          <w:tcPr>
            <w:tcW w:w="1198" w:type="dxa"/>
            <w:gridSpan w:val="4"/>
            <w:shd w:val="clear" w:color="auto" w:fill="FFFFFF" w:themeFill="background1"/>
            <w:vAlign w:val="center"/>
          </w:tcPr>
          <w:p w14:paraId="274DDD7A" w14:textId="5A6B134B"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1,1</w:t>
            </w:r>
          </w:p>
        </w:tc>
        <w:tc>
          <w:tcPr>
            <w:tcW w:w="938" w:type="dxa"/>
            <w:gridSpan w:val="3"/>
            <w:shd w:val="clear" w:color="auto" w:fill="FFFFFF" w:themeFill="background1"/>
            <w:vAlign w:val="center"/>
          </w:tcPr>
          <w:p w14:paraId="713665E9" w14:textId="5E15C58A"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2,0</w:t>
            </w:r>
          </w:p>
        </w:tc>
        <w:tc>
          <w:tcPr>
            <w:tcW w:w="937" w:type="dxa"/>
            <w:gridSpan w:val="4"/>
            <w:shd w:val="clear" w:color="auto" w:fill="FFFFFF" w:themeFill="background1"/>
            <w:vAlign w:val="center"/>
          </w:tcPr>
          <w:p w14:paraId="4EF09E9E" w14:textId="34EBE8D8"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5,0</w:t>
            </w:r>
          </w:p>
        </w:tc>
        <w:tc>
          <w:tcPr>
            <w:tcW w:w="938" w:type="dxa"/>
            <w:gridSpan w:val="3"/>
            <w:shd w:val="clear" w:color="auto" w:fill="FFFFFF" w:themeFill="background1"/>
            <w:vAlign w:val="center"/>
          </w:tcPr>
          <w:p w14:paraId="000200B9"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7,0</w:t>
            </w:r>
          </w:p>
        </w:tc>
        <w:tc>
          <w:tcPr>
            <w:tcW w:w="938" w:type="dxa"/>
            <w:gridSpan w:val="3"/>
            <w:shd w:val="clear" w:color="auto" w:fill="FFFFFF" w:themeFill="background1"/>
            <w:vAlign w:val="center"/>
          </w:tcPr>
          <w:p w14:paraId="67E26D35"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8,0</w:t>
            </w:r>
          </w:p>
        </w:tc>
        <w:tc>
          <w:tcPr>
            <w:tcW w:w="692" w:type="dxa"/>
            <w:shd w:val="clear" w:color="auto" w:fill="FFFFFF" w:themeFill="background1"/>
            <w:vAlign w:val="center"/>
          </w:tcPr>
          <w:p w14:paraId="74846657" w14:textId="77777777" w:rsidR="007532AB" w:rsidRPr="0039465C" w:rsidRDefault="007532AB" w:rsidP="0039465C">
            <w:pPr>
              <w:widowControl/>
              <w:autoSpaceDE/>
              <w:autoSpaceDN/>
              <w:adjustRightInd/>
              <w:spacing w:line="240" w:lineRule="auto"/>
              <w:jc w:val="center"/>
              <w:rPr>
                <w:rFonts w:eastAsia="Calibri" w:cs="Times New Roman"/>
                <w:spacing w:val="-2"/>
                <w:sz w:val="20"/>
                <w:lang w:eastAsia="en-US"/>
              </w:rPr>
            </w:pPr>
            <w:r w:rsidRPr="0039465C">
              <w:rPr>
                <w:rFonts w:eastAsia="Calibri" w:cs="Times New Roman"/>
                <w:spacing w:val="-2"/>
                <w:sz w:val="20"/>
                <w:lang w:eastAsia="en-US"/>
              </w:rPr>
              <w:t>24,6</w:t>
            </w:r>
          </w:p>
        </w:tc>
      </w:tr>
      <w:tr w:rsidR="007532AB" w:rsidRPr="004547D4" w14:paraId="77343EC2" w14:textId="77777777" w:rsidTr="0039465C">
        <w:trPr>
          <w:trHeight w:val="142"/>
        </w:trPr>
        <w:tc>
          <w:tcPr>
            <w:tcW w:w="1596" w:type="dxa"/>
            <w:vMerge/>
          </w:tcPr>
          <w:p w14:paraId="23E90C97"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3E94BBCC"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rodzina, obywatele oraz gospodarstwa domowe</w:t>
            </w:r>
          </w:p>
        </w:tc>
        <w:tc>
          <w:tcPr>
            <w:tcW w:w="677" w:type="dxa"/>
            <w:gridSpan w:val="2"/>
            <w:shd w:val="clear" w:color="auto" w:fill="FFFFFF" w:themeFill="background1"/>
            <w:vAlign w:val="center"/>
          </w:tcPr>
          <w:p w14:paraId="6AF54AC3"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p>
        </w:tc>
        <w:tc>
          <w:tcPr>
            <w:tcW w:w="1198" w:type="dxa"/>
            <w:gridSpan w:val="4"/>
            <w:shd w:val="clear" w:color="auto" w:fill="FFFFFF" w:themeFill="background1"/>
            <w:vAlign w:val="center"/>
          </w:tcPr>
          <w:p w14:paraId="5F4209E2"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p>
        </w:tc>
        <w:tc>
          <w:tcPr>
            <w:tcW w:w="938" w:type="dxa"/>
            <w:gridSpan w:val="3"/>
            <w:shd w:val="clear" w:color="auto" w:fill="FFFFFF" w:themeFill="background1"/>
            <w:vAlign w:val="center"/>
          </w:tcPr>
          <w:p w14:paraId="03820470"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p>
        </w:tc>
        <w:tc>
          <w:tcPr>
            <w:tcW w:w="937" w:type="dxa"/>
            <w:gridSpan w:val="4"/>
            <w:shd w:val="clear" w:color="auto" w:fill="FFFFFF" w:themeFill="background1"/>
            <w:vAlign w:val="center"/>
          </w:tcPr>
          <w:p w14:paraId="2DF0EE4B"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p>
        </w:tc>
        <w:tc>
          <w:tcPr>
            <w:tcW w:w="938" w:type="dxa"/>
            <w:gridSpan w:val="3"/>
            <w:shd w:val="clear" w:color="auto" w:fill="FFFFFF" w:themeFill="background1"/>
            <w:vAlign w:val="center"/>
          </w:tcPr>
          <w:p w14:paraId="0EF2702B"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p>
        </w:tc>
        <w:tc>
          <w:tcPr>
            <w:tcW w:w="938" w:type="dxa"/>
            <w:gridSpan w:val="3"/>
            <w:shd w:val="clear" w:color="auto" w:fill="FFFFFF" w:themeFill="background1"/>
            <w:vAlign w:val="center"/>
          </w:tcPr>
          <w:p w14:paraId="05C5C896" w14:textId="77777777" w:rsidR="007532AB" w:rsidRPr="0039465C" w:rsidRDefault="007532AB" w:rsidP="0039465C">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w:t>
            </w:r>
          </w:p>
        </w:tc>
        <w:tc>
          <w:tcPr>
            <w:tcW w:w="692" w:type="dxa"/>
            <w:shd w:val="clear" w:color="auto" w:fill="FFFFFF" w:themeFill="background1"/>
            <w:vAlign w:val="center"/>
          </w:tcPr>
          <w:p w14:paraId="0FACE75B" w14:textId="77777777" w:rsidR="007532AB" w:rsidRPr="0039465C" w:rsidRDefault="007532AB" w:rsidP="0039465C">
            <w:pPr>
              <w:widowControl/>
              <w:autoSpaceDE/>
              <w:autoSpaceDN/>
              <w:adjustRightInd/>
              <w:spacing w:line="240" w:lineRule="auto"/>
              <w:jc w:val="center"/>
              <w:rPr>
                <w:rFonts w:eastAsia="Calibri" w:cs="Times New Roman"/>
                <w:spacing w:val="-2"/>
                <w:sz w:val="20"/>
                <w:lang w:eastAsia="en-US"/>
              </w:rPr>
            </w:pPr>
            <w:r w:rsidRPr="0039465C">
              <w:rPr>
                <w:rFonts w:eastAsia="Calibri" w:cs="Times New Roman"/>
                <w:spacing w:val="-2"/>
                <w:sz w:val="20"/>
                <w:lang w:eastAsia="en-US"/>
              </w:rPr>
              <w:t>0</w:t>
            </w:r>
          </w:p>
        </w:tc>
      </w:tr>
      <w:tr w:rsidR="007532AB" w:rsidRPr="004547D4" w14:paraId="3F0337C9" w14:textId="77777777" w:rsidTr="0039465C">
        <w:trPr>
          <w:trHeight w:val="142"/>
        </w:trPr>
        <w:tc>
          <w:tcPr>
            <w:tcW w:w="1596" w:type="dxa"/>
            <w:vMerge w:val="restart"/>
            <w:shd w:val="clear" w:color="auto" w:fill="FFFFFF" w:themeFill="background1"/>
          </w:tcPr>
          <w:p w14:paraId="2A589B3A"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W ujęciu niepieniężnym</w:t>
            </w:r>
          </w:p>
        </w:tc>
        <w:tc>
          <w:tcPr>
            <w:tcW w:w="2293" w:type="dxa"/>
            <w:gridSpan w:val="5"/>
            <w:shd w:val="clear" w:color="auto" w:fill="FFFFFF" w:themeFill="background1"/>
          </w:tcPr>
          <w:p w14:paraId="2447D890"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duże przedsiębiorstwa</w:t>
            </w:r>
          </w:p>
        </w:tc>
        <w:tc>
          <w:tcPr>
            <w:tcW w:w="6318" w:type="dxa"/>
            <w:gridSpan w:val="20"/>
            <w:shd w:val="clear" w:color="auto" w:fill="FFFFFF" w:themeFill="background1"/>
          </w:tcPr>
          <w:p w14:paraId="734BD3A4"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Brak wpływu</w:t>
            </w:r>
          </w:p>
        </w:tc>
      </w:tr>
      <w:tr w:rsidR="007532AB" w:rsidRPr="004547D4" w14:paraId="55CE2D2A" w14:textId="77777777" w:rsidTr="0039465C">
        <w:trPr>
          <w:trHeight w:val="142"/>
        </w:trPr>
        <w:tc>
          <w:tcPr>
            <w:tcW w:w="1596" w:type="dxa"/>
            <w:vMerge/>
          </w:tcPr>
          <w:p w14:paraId="797FE193"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39FDB026"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sektor mikro-, małych i średnich przedsiębiorstw</w:t>
            </w:r>
          </w:p>
        </w:tc>
        <w:tc>
          <w:tcPr>
            <w:tcW w:w="6318" w:type="dxa"/>
            <w:gridSpan w:val="20"/>
            <w:shd w:val="clear" w:color="auto" w:fill="FFFFFF" w:themeFill="background1"/>
          </w:tcPr>
          <w:p w14:paraId="545B836F" w14:textId="32AA6B22" w:rsidR="007532AB" w:rsidRPr="004547D4" w:rsidRDefault="007532AB" w:rsidP="007532AB">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Wpływ pozytywny – możliwość konkurowania z innymi podmiotami na rynku UE bez dodatkowych barier administracyjnych</w:t>
            </w:r>
            <w:r>
              <w:rPr>
                <w:rFonts w:eastAsia="Calibri" w:cs="Times New Roman"/>
                <w:spacing w:val="-2"/>
                <w:sz w:val="22"/>
                <w:szCs w:val="22"/>
                <w:lang w:eastAsia="en-US"/>
              </w:rPr>
              <w:t>.</w:t>
            </w:r>
          </w:p>
        </w:tc>
      </w:tr>
      <w:tr w:rsidR="007532AB" w:rsidRPr="004547D4" w14:paraId="7D8BC71A" w14:textId="77777777" w:rsidTr="0039465C">
        <w:trPr>
          <w:trHeight w:val="596"/>
        </w:trPr>
        <w:tc>
          <w:tcPr>
            <w:tcW w:w="1596" w:type="dxa"/>
            <w:vMerge/>
          </w:tcPr>
          <w:p w14:paraId="61A7770D"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708F22E8" w14:textId="77777777" w:rsidR="007532AB" w:rsidRPr="004547D4" w:rsidRDefault="007532AB" w:rsidP="007532AB">
            <w:pPr>
              <w:widowControl/>
              <w:tabs>
                <w:tab w:val="right" w:pos="1936"/>
              </w:tabs>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 xml:space="preserve">rodzina, obywatele oraz gospodarstwa domowe </w:t>
            </w:r>
          </w:p>
        </w:tc>
        <w:tc>
          <w:tcPr>
            <w:tcW w:w="6318" w:type="dxa"/>
            <w:gridSpan w:val="20"/>
            <w:shd w:val="clear" w:color="auto" w:fill="FFFFFF" w:themeFill="background1"/>
          </w:tcPr>
          <w:p w14:paraId="3E3B21C8"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Brak wpływu</w:t>
            </w:r>
          </w:p>
        </w:tc>
      </w:tr>
      <w:tr w:rsidR="007532AB" w:rsidRPr="004547D4" w14:paraId="53A0165A" w14:textId="77777777" w:rsidTr="0039465C">
        <w:trPr>
          <w:trHeight w:val="493"/>
        </w:trPr>
        <w:tc>
          <w:tcPr>
            <w:tcW w:w="1596" w:type="dxa"/>
            <w:shd w:val="clear" w:color="auto" w:fill="FFFFFF" w:themeFill="background1"/>
          </w:tcPr>
          <w:p w14:paraId="76621B4A"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Niemierzalne</w:t>
            </w:r>
          </w:p>
        </w:tc>
        <w:tc>
          <w:tcPr>
            <w:tcW w:w="2293" w:type="dxa"/>
            <w:gridSpan w:val="5"/>
            <w:shd w:val="clear" w:color="auto" w:fill="FFFFFF" w:themeFill="background1"/>
          </w:tcPr>
          <w:p w14:paraId="2CBDE6FC" w14:textId="77777777" w:rsidR="007532AB" w:rsidRPr="004547D4" w:rsidRDefault="007532AB" w:rsidP="007532AB">
            <w:pPr>
              <w:spacing w:line="240" w:lineRule="auto"/>
              <w:rPr>
                <w:rFonts w:eastAsia="Calibri" w:cs="Times New Roman"/>
                <w:sz w:val="22"/>
                <w:szCs w:val="22"/>
                <w:lang w:eastAsia="en-US"/>
              </w:rPr>
            </w:pPr>
          </w:p>
        </w:tc>
        <w:tc>
          <w:tcPr>
            <w:tcW w:w="6318" w:type="dxa"/>
            <w:gridSpan w:val="20"/>
            <w:shd w:val="clear" w:color="auto" w:fill="FFFFFF" w:themeFill="background1"/>
          </w:tcPr>
          <w:p w14:paraId="0C532A31" w14:textId="182119DC" w:rsidR="007532AB" w:rsidRPr="004547D4" w:rsidRDefault="007532AB" w:rsidP="007532AB">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Większa obecność polskich podmiotów na wspólnotowym rynku usług z wykorzystaniem BSP</w:t>
            </w:r>
            <w:r>
              <w:rPr>
                <w:rFonts w:eastAsia="Calibri" w:cs="Times New Roman"/>
                <w:spacing w:val="-2"/>
                <w:sz w:val="22"/>
                <w:szCs w:val="22"/>
                <w:lang w:eastAsia="en-US"/>
              </w:rPr>
              <w:t>.</w:t>
            </w:r>
          </w:p>
          <w:p w14:paraId="6D8648B4" w14:textId="3A9FACB1" w:rsidR="007532AB" w:rsidRPr="004547D4" w:rsidRDefault="007532AB" w:rsidP="007532AB">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Wpływ stref geograficznych dla BSP na poziom bezpieczeństwa ruchu lotniczego</w:t>
            </w:r>
            <w:r>
              <w:rPr>
                <w:rFonts w:eastAsia="Calibri" w:cs="Times New Roman"/>
                <w:spacing w:val="-2"/>
                <w:sz w:val="22"/>
                <w:szCs w:val="22"/>
                <w:lang w:eastAsia="en-US"/>
              </w:rPr>
              <w:t>.</w:t>
            </w:r>
          </w:p>
        </w:tc>
      </w:tr>
      <w:tr w:rsidR="007532AB" w:rsidRPr="004547D4" w14:paraId="694C5220" w14:textId="77777777" w:rsidTr="0039465C">
        <w:trPr>
          <w:trHeight w:val="1643"/>
        </w:trPr>
        <w:tc>
          <w:tcPr>
            <w:tcW w:w="2243" w:type="dxa"/>
            <w:gridSpan w:val="2"/>
            <w:shd w:val="clear" w:color="auto" w:fill="FFFFFF" w:themeFill="background1"/>
          </w:tcPr>
          <w:p w14:paraId="3F86695D" w14:textId="67A26926" w:rsidR="007532AB" w:rsidRPr="004547D4" w:rsidRDefault="007532AB" w:rsidP="007532AB">
            <w:pPr>
              <w:widowControl/>
              <w:autoSpaceDE/>
              <w:autoSpaceDN/>
              <w:adjustRightInd/>
              <w:spacing w:line="240" w:lineRule="auto"/>
              <w:rPr>
                <w:rFonts w:eastAsia="Calibri" w:cs="Times New Roman"/>
                <w:sz w:val="22"/>
                <w:szCs w:val="22"/>
                <w:lang w:eastAsia="en-US"/>
              </w:rPr>
            </w:pPr>
            <w:bookmarkStart w:id="11" w:name="_Hlk84235626"/>
            <w:r w:rsidRPr="004547D4">
              <w:rPr>
                <w:rFonts w:eastAsia="Calibri" w:cs="Times New Roman"/>
                <w:sz w:val="22"/>
                <w:szCs w:val="22"/>
                <w:lang w:eastAsia="en-US"/>
              </w:rPr>
              <w:t xml:space="preserve">Dodatkowe informacje, w tym wskazanie źródeł danych i przyjętych do obliczeń założeń </w:t>
            </w:r>
            <w:bookmarkEnd w:id="11"/>
          </w:p>
        </w:tc>
        <w:tc>
          <w:tcPr>
            <w:tcW w:w="7964" w:type="dxa"/>
            <w:gridSpan w:val="24"/>
            <w:shd w:val="clear" w:color="auto" w:fill="FFFFFF" w:themeFill="background1"/>
            <w:vAlign w:val="center"/>
          </w:tcPr>
          <w:p w14:paraId="2284F97E" w14:textId="79D2A1DD" w:rsidR="007532AB" w:rsidRDefault="007532AB" w:rsidP="007532AB">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Dane przyjęte do obliczeń należy traktować jako szacunkowe z uwagi na brak dostępnych informacji o wielkości i wartości rynku usług świadczonych z</w:t>
            </w:r>
            <w:r w:rsidR="0065117A">
              <w:rPr>
                <w:rFonts w:eastAsia="Calibri" w:cs="Times New Roman"/>
                <w:sz w:val="22"/>
                <w:szCs w:val="22"/>
                <w:lang w:eastAsia="en-US"/>
              </w:rPr>
              <w:t> </w:t>
            </w:r>
            <w:r w:rsidRPr="004547D4">
              <w:rPr>
                <w:rFonts w:eastAsia="Calibri" w:cs="Times New Roman"/>
                <w:sz w:val="22"/>
                <w:szCs w:val="22"/>
                <w:lang w:eastAsia="en-US"/>
              </w:rPr>
              <w:t>wykorzystaniem BSP. BSP jako narzędzie służące wykonaniu usług nie jest notowane w danych ekonomicznych publikowanych przez organizacje rządowe czy pozarządowe.</w:t>
            </w:r>
          </w:p>
          <w:p w14:paraId="34325004" w14:textId="3CF59D41" w:rsidR="007532AB" w:rsidRDefault="007532AB" w:rsidP="007532AB">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 xml:space="preserve">Wartość </w:t>
            </w:r>
            <w:r w:rsidR="0039465C">
              <w:rPr>
                <w:rFonts w:eastAsia="Calibri" w:cs="Times New Roman"/>
                <w:sz w:val="22"/>
                <w:szCs w:val="22"/>
                <w:lang w:eastAsia="en-US"/>
              </w:rPr>
              <w:t>-11,48</w:t>
            </w:r>
            <w:r>
              <w:rPr>
                <w:rFonts w:eastAsia="Calibri" w:cs="Times New Roman"/>
                <w:sz w:val="22"/>
                <w:szCs w:val="22"/>
                <w:lang w:eastAsia="en-US"/>
              </w:rPr>
              <w:t xml:space="preserve"> mln zł jako szacowany wpływ na duże przedsiębiorstwa została oszacowana z uwzględnieniem </w:t>
            </w:r>
            <w:r w:rsidRPr="00725F25">
              <w:rPr>
                <w:rFonts w:eastAsia="Calibri" w:cs="Times New Roman"/>
                <w:sz w:val="22"/>
                <w:szCs w:val="22"/>
                <w:lang w:eastAsia="en-US"/>
              </w:rPr>
              <w:t xml:space="preserve">opłat na rzecz PAŻP za wyznaczanie stref </w:t>
            </w:r>
            <w:r>
              <w:rPr>
                <w:rFonts w:eastAsia="Calibri" w:cs="Times New Roman"/>
                <w:sz w:val="22"/>
                <w:szCs w:val="22"/>
                <w:lang w:eastAsia="en-US"/>
              </w:rPr>
              <w:t xml:space="preserve">geograficznych dla </w:t>
            </w:r>
            <w:r w:rsidRPr="00725F25">
              <w:rPr>
                <w:rFonts w:eastAsia="Calibri" w:cs="Times New Roman"/>
                <w:sz w:val="22"/>
                <w:szCs w:val="22"/>
                <w:lang w:eastAsia="en-US"/>
              </w:rPr>
              <w:t>B</w:t>
            </w:r>
            <w:r w:rsidR="0039465C">
              <w:rPr>
                <w:rFonts w:eastAsia="Calibri" w:cs="Times New Roman"/>
                <w:sz w:val="22"/>
                <w:szCs w:val="22"/>
                <w:lang w:eastAsia="en-US"/>
              </w:rPr>
              <w:t>SP od zarządzających infrastrukturą</w:t>
            </w:r>
            <w:r>
              <w:rPr>
                <w:rFonts w:eastAsia="Calibri" w:cs="Times New Roman"/>
                <w:sz w:val="22"/>
                <w:szCs w:val="22"/>
                <w:lang w:eastAsia="en-US"/>
              </w:rPr>
              <w:t xml:space="preserve"> </w:t>
            </w:r>
            <w:r w:rsidR="0039465C">
              <w:rPr>
                <w:rFonts w:eastAsia="Calibri" w:cs="Times New Roman"/>
                <w:sz w:val="22"/>
                <w:szCs w:val="22"/>
                <w:lang w:eastAsia="en-US"/>
              </w:rPr>
              <w:t>w wysokości wynikającej z</w:t>
            </w:r>
            <w:r w:rsidR="0065117A">
              <w:rPr>
                <w:rFonts w:eastAsia="Calibri" w:cs="Times New Roman"/>
                <w:sz w:val="22"/>
                <w:szCs w:val="22"/>
                <w:lang w:eastAsia="en-US"/>
              </w:rPr>
              <w:t> </w:t>
            </w:r>
            <w:r w:rsidR="0039465C">
              <w:rPr>
                <w:rFonts w:eastAsia="Calibri" w:cs="Times New Roman"/>
                <w:sz w:val="22"/>
                <w:szCs w:val="22"/>
                <w:lang w:eastAsia="en-US"/>
              </w:rPr>
              <w:t>załącznika nr 3 do OSR (łącznie 9,72 mln zł w latach 0-10 obowiązywania regulacji)</w:t>
            </w:r>
            <w:r>
              <w:rPr>
                <w:rFonts w:eastAsia="Calibri" w:cs="Times New Roman"/>
                <w:sz w:val="22"/>
                <w:szCs w:val="22"/>
                <w:lang w:eastAsia="en-US"/>
              </w:rPr>
              <w:t>, a także</w:t>
            </w:r>
            <w:r>
              <w:t xml:space="preserve"> </w:t>
            </w:r>
            <w:r w:rsidRPr="00725F25">
              <w:rPr>
                <w:rFonts w:eastAsia="Calibri" w:cs="Times New Roman"/>
                <w:sz w:val="22"/>
                <w:szCs w:val="22"/>
                <w:lang w:eastAsia="en-US"/>
              </w:rPr>
              <w:t>opłat</w:t>
            </w:r>
            <w:r>
              <w:rPr>
                <w:rFonts w:eastAsia="Calibri" w:cs="Times New Roman"/>
                <w:sz w:val="22"/>
                <w:szCs w:val="22"/>
                <w:lang w:eastAsia="en-US"/>
              </w:rPr>
              <w:t xml:space="preserve"> lotniczych</w:t>
            </w:r>
            <w:r w:rsidRPr="00725F25">
              <w:rPr>
                <w:rFonts w:eastAsia="Calibri" w:cs="Times New Roman"/>
                <w:sz w:val="22"/>
                <w:szCs w:val="22"/>
                <w:lang w:eastAsia="en-US"/>
              </w:rPr>
              <w:t xml:space="preserve"> za zezwolenia na operacje, o które będą wnioskować zarządzający lotniskami (64 podmioty)</w:t>
            </w:r>
            <w:r>
              <w:rPr>
                <w:rFonts w:eastAsia="Calibri" w:cs="Times New Roman"/>
                <w:sz w:val="22"/>
                <w:szCs w:val="22"/>
                <w:lang w:eastAsia="en-US"/>
              </w:rPr>
              <w:t>,</w:t>
            </w:r>
            <w:r w:rsidRPr="00725F25">
              <w:rPr>
                <w:rFonts w:eastAsia="Calibri" w:cs="Times New Roman"/>
                <w:sz w:val="22"/>
                <w:szCs w:val="22"/>
                <w:lang w:eastAsia="en-US"/>
              </w:rPr>
              <w:t xml:space="preserve"> przy </w:t>
            </w:r>
            <w:r>
              <w:rPr>
                <w:rFonts w:eastAsia="Calibri" w:cs="Times New Roman"/>
                <w:sz w:val="22"/>
                <w:szCs w:val="22"/>
                <w:lang w:eastAsia="en-US"/>
              </w:rPr>
              <w:t xml:space="preserve">założeniu, </w:t>
            </w:r>
            <w:r w:rsidRPr="00725F25">
              <w:rPr>
                <w:rFonts w:eastAsia="Calibri" w:cs="Times New Roman"/>
                <w:sz w:val="22"/>
                <w:szCs w:val="22"/>
                <w:lang w:eastAsia="en-US"/>
              </w:rPr>
              <w:t xml:space="preserve">że każdy z nich w ciągu roku wystąpi o 5 zezwoleń na operację (koszt jednego </w:t>
            </w:r>
            <w:r>
              <w:rPr>
                <w:rFonts w:eastAsia="Calibri" w:cs="Times New Roman"/>
                <w:sz w:val="22"/>
                <w:szCs w:val="22"/>
                <w:lang w:eastAsia="en-US"/>
              </w:rPr>
              <w:t>zezwolenia to 500 zł; z</w:t>
            </w:r>
            <w:r w:rsidRPr="00725F25">
              <w:rPr>
                <w:rFonts w:eastAsia="Calibri" w:cs="Times New Roman"/>
                <w:sz w:val="22"/>
                <w:szCs w:val="22"/>
                <w:lang w:eastAsia="en-US"/>
              </w:rPr>
              <w:t>ezwolenia są wydawane na rok</w:t>
            </w:r>
            <w:r>
              <w:rPr>
                <w:rFonts w:eastAsia="Calibri" w:cs="Times New Roman"/>
                <w:sz w:val="22"/>
                <w:szCs w:val="22"/>
                <w:lang w:eastAsia="en-US"/>
              </w:rPr>
              <w:t>,</w:t>
            </w:r>
            <w:r w:rsidRPr="00725F25">
              <w:rPr>
                <w:rFonts w:eastAsia="Calibri" w:cs="Times New Roman"/>
                <w:sz w:val="22"/>
                <w:szCs w:val="22"/>
                <w:lang w:eastAsia="en-US"/>
              </w:rPr>
              <w:t xml:space="preserve"> więc co roku będzie to </w:t>
            </w:r>
            <w:r>
              <w:rPr>
                <w:rFonts w:eastAsia="Calibri" w:cs="Times New Roman"/>
                <w:sz w:val="22"/>
                <w:szCs w:val="22"/>
                <w:lang w:eastAsia="en-US"/>
              </w:rPr>
              <w:t>kwota rzędu 0,16 mln zł</w:t>
            </w:r>
            <w:r w:rsidR="0039465C">
              <w:rPr>
                <w:rFonts w:eastAsia="Calibri" w:cs="Times New Roman"/>
                <w:sz w:val="22"/>
                <w:szCs w:val="22"/>
                <w:lang w:eastAsia="en-US"/>
              </w:rPr>
              <w:t xml:space="preserve"> (łącznie 1,76 mln zł </w:t>
            </w:r>
            <w:r w:rsidR="0039465C" w:rsidRPr="0039465C">
              <w:rPr>
                <w:rFonts w:eastAsia="Calibri" w:cs="Times New Roman"/>
                <w:sz w:val="22"/>
                <w:szCs w:val="22"/>
                <w:lang w:eastAsia="en-US"/>
              </w:rPr>
              <w:t>w latach 0-10 obowiązywania regulacji</w:t>
            </w:r>
            <w:r w:rsidRPr="00725F25">
              <w:rPr>
                <w:rFonts w:eastAsia="Calibri" w:cs="Times New Roman"/>
                <w:sz w:val="22"/>
                <w:szCs w:val="22"/>
                <w:lang w:eastAsia="en-US"/>
              </w:rPr>
              <w:t>)</w:t>
            </w:r>
            <w:r>
              <w:rPr>
                <w:rFonts w:eastAsia="Calibri" w:cs="Times New Roman"/>
                <w:sz w:val="22"/>
                <w:szCs w:val="22"/>
                <w:lang w:eastAsia="en-US"/>
              </w:rPr>
              <w:t>.</w:t>
            </w:r>
          </w:p>
          <w:p w14:paraId="4C388E04" w14:textId="32063BD6" w:rsidR="007532AB" w:rsidRDefault="007532AB" w:rsidP="007532AB">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Wartość</w:t>
            </w:r>
            <w:r w:rsidRPr="006911A7">
              <w:rPr>
                <w:rFonts w:eastAsia="Calibri" w:cs="Times New Roman"/>
                <w:sz w:val="22"/>
                <w:szCs w:val="22"/>
                <w:lang w:eastAsia="en-US"/>
              </w:rPr>
              <w:t xml:space="preserve"> 24,6 mln zł jako szacowany wpływ na rynek mikro, małych i średnich przedsiębiorców wyliczona została z uwzględnieniem danych zawartych w dokumencie </w:t>
            </w:r>
            <w:r w:rsidRPr="0068202D">
              <w:rPr>
                <w:rFonts w:eastAsia="Calibri" w:cs="Times New Roman"/>
                <w:i/>
                <w:sz w:val="22"/>
                <w:szCs w:val="22"/>
                <w:lang w:eastAsia="en-US"/>
              </w:rPr>
              <w:t>Rynek dronów w Polce</w:t>
            </w:r>
            <w:r>
              <w:rPr>
                <w:rFonts w:eastAsia="Calibri" w:cs="Times New Roman"/>
                <w:sz w:val="22"/>
                <w:szCs w:val="22"/>
                <w:lang w:eastAsia="en-US"/>
              </w:rPr>
              <w:t xml:space="preserve"> (edycja 2018) sporządzony przez Fundację „Instytut Mikromakro” </w:t>
            </w:r>
            <w:r w:rsidRPr="006911A7">
              <w:rPr>
                <w:rFonts w:eastAsia="Calibri" w:cs="Times New Roman"/>
                <w:sz w:val="22"/>
                <w:szCs w:val="22"/>
                <w:lang w:eastAsia="en-US"/>
              </w:rPr>
              <w:t xml:space="preserve">oraz na podstawie informacji uzyskanych </w:t>
            </w:r>
            <w:r>
              <w:rPr>
                <w:rFonts w:eastAsia="Calibri" w:cs="Times New Roman"/>
                <w:sz w:val="22"/>
                <w:szCs w:val="22"/>
                <w:lang w:eastAsia="en-US"/>
              </w:rPr>
              <w:t>przez ULC od przedstawicieli przedsiębiorstw korzystających BSP</w:t>
            </w:r>
            <w:r w:rsidRPr="006911A7">
              <w:rPr>
                <w:rFonts w:eastAsia="Calibri" w:cs="Times New Roman"/>
                <w:sz w:val="22"/>
                <w:szCs w:val="22"/>
                <w:lang w:eastAsia="en-US"/>
              </w:rPr>
              <w:t xml:space="preserve"> w </w:t>
            </w:r>
            <w:r>
              <w:rPr>
                <w:rFonts w:eastAsia="Calibri" w:cs="Times New Roman"/>
                <w:sz w:val="22"/>
                <w:szCs w:val="22"/>
                <w:lang w:eastAsia="en-US"/>
              </w:rPr>
              <w:t xml:space="preserve">okresie </w:t>
            </w:r>
            <w:r w:rsidRPr="006911A7">
              <w:rPr>
                <w:rFonts w:eastAsia="Calibri" w:cs="Times New Roman"/>
                <w:sz w:val="22"/>
                <w:szCs w:val="22"/>
                <w:lang w:eastAsia="en-US"/>
              </w:rPr>
              <w:t>obowiązywania krajowych przepisów</w:t>
            </w:r>
            <w:r>
              <w:rPr>
                <w:rFonts w:eastAsia="Calibri" w:cs="Times New Roman"/>
                <w:sz w:val="22"/>
                <w:szCs w:val="22"/>
                <w:lang w:eastAsia="en-US"/>
              </w:rPr>
              <w:t xml:space="preserve"> regulujących zasady użytkowania BSP</w:t>
            </w:r>
            <w:r w:rsidRPr="006911A7">
              <w:rPr>
                <w:rFonts w:eastAsia="Calibri" w:cs="Times New Roman"/>
                <w:sz w:val="22"/>
                <w:szCs w:val="22"/>
                <w:lang w:eastAsia="en-US"/>
              </w:rPr>
              <w:t xml:space="preserve">, którzy </w:t>
            </w:r>
            <w:r>
              <w:rPr>
                <w:rFonts w:eastAsia="Calibri" w:cs="Times New Roman"/>
                <w:sz w:val="22"/>
                <w:szCs w:val="22"/>
                <w:lang w:eastAsia="en-US"/>
              </w:rPr>
              <w:t>w wykazanej w niniejszej części OSR</w:t>
            </w:r>
            <w:r w:rsidRPr="006911A7">
              <w:rPr>
                <w:rFonts w:eastAsia="Calibri" w:cs="Times New Roman"/>
                <w:sz w:val="22"/>
                <w:szCs w:val="22"/>
                <w:lang w:eastAsia="en-US"/>
              </w:rPr>
              <w:t xml:space="preserve"> wysokości szacowali dochody </w:t>
            </w:r>
            <w:r>
              <w:rPr>
                <w:rFonts w:eastAsia="Calibri" w:cs="Times New Roman"/>
                <w:sz w:val="22"/>
                <w:szCs w:val="22"/>
                <w:lang w:eastAsia="en-US"/>
              </w:rPr>
              <w:t>z tytułu</w:t>
            </w:r>
            <w:r w:rsidRPr="006911A7">
              <w:rPr>
                <w:rFonts w:eastAsia="Calibri" w:cs="Times New Roman"/>
                <w:sz w:val="22"/>
                <w:szCs w:val="22"/>
                <w:lang w:eastAsia="en-US"/>
              </w:rPr>
              <w:t xml:space="preserve"> świadczenia usług wykonywania operacji przy użyciu </w:t>
            </w:r>
            <w:r>
              <w:rPr>
                <w:rFonts w:eastAsia="Calibri" w:cs="Times New Roman"/>
                <w:sz w:val="22"/>
                <w:szCs w:val="22"/>
                <w:lang w:eastAsia="en-US"/>
              </w:rPr>
              <w:t>BSP,</w:t>
            </w:r>
            <w:r w:rsidRPr="006911A7">
              <w:rPr>
                <w:rFonts w:eastAsia="Calibri" w:cs="Times New Roman"/>
                <w:sz w:val="22"/>
                <w:szCs w:val="22"/>
                <w:lang w:eastAsia="en-US"/>
              </w:rPr>
              <w:t xml:space="preserve"> np. usług geodezyjnych czy też usług szkoleniowych, na rynkach UE.</w:t>
            </w:r>
          </w:p>
          <w:p w14:paraId="2D420F49" w14:textId="17F8F5A1"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 xml:space="preserve">Niniejsze wyliczenie nie obejmuje również </w:t>
            </w:r>
            <w:r w:rsidRPr="00A12F6A">
              <w:rPr>
                <w:rFonts w:eastAsia="Calibri" w:cs="Times New Roman"/>
                <w:sz w:val="22"/>
                <w:szCs w:val="22"/>
                <w:lang w:eastAsia="en-US"/>
              </w:rPr>
              <w:t xml:space="preserve">skutków finansowych dla </w:t>
            </w:r>
            <w:r>
              <w:rPr>
                <w:rFonts w:eastAsia="Calibri" w:cs="Times New Roman"/>
                <w:sz w:val="22"/>
                <w:szCs w:val="22"/>
                <w:lang w:eastAsia="en-US"/>
              </w:rPr>
              <w:t xml:space="preserve">operatorów systemów </w:t>
            </w:r>
            <w:r w:rsidRPr="00A12F6A">
              <w:rPr>
                <w:rFonts w:eastAsia="Calibri" w:cs="Times New Roman"/>
                <w:sz w:val="22"/>
                <w:szCs w:val="22"/>
                <w:lang w:eastAsia="en-US"/>
              </w:rPr>
              <w:t>bezzałogow</w:t>
            </w:r>
            <w:r>
              <w:rPr>
                <w:rFonts w:eastAsia="Calibri" w:cs="Times New Roman"/>
                <w:sz w:val="22"/>
                <w:szCs w:val="22"/>
                <w:lang w:eastAsia="en-US"/>
              </w:rPr>
              <w:t>ych</w:t>
            </w:r>
            <w:r w:rsidRPr="00A12F6A">
              <w:rPr>
                <w:rFonts w:eastAsia="Calibri" w:cs="Times New Roman"/>
                <w:sz w:val="22"/>
                <w:szCs w:val="22"/>
                <w:lang w:eastAsia="en-US"/>
              </w:rPr>
              <w:t xml:space="preserve"> statk</w:t>
            </w:r>
            <w:r>
              <w:rPr>
                <w:rFonts w:eastAsia="Calibri" w:cs="Times New Roman"/>
                <w:sz w:val="22"/>
                <w:szCs w:val="22"/>
                <w:lang w:eastAsia="en-US"/>
              </w:rPr>
              <w:t>ów</w:t>
            </w:r>
            <w:r w:rsidRPr="00A12F6A">
              <w:rPr>
                <w:rFonts w:eastAsia="Calibri" w:cs="Times New Roman"/>
                <w:sz w:val="22"/>
                <w:szCs w:val="22"/>
                <w:lang w:eastAsia="en-US"/>
              </w:rPr>
              <w:t xml:space="preserve"> powietrzn</w:t>
            </w:r>
            <w:r>
              <w:rPr>
                <w:rFonts w:eastAsia="Calibri" w:cs="Times New Roman"/>
                <w:sz w:val="22"/>
                <w:szCs w:val="22"/>
                <w:lang w:eastAsia="en-US"/>
              </w:rPr>
              <w:t>ych</w:t>
            </w:r>
            <w:r w:rsidRPr="00A12F6A">
              <w:rPr>
                <w:rFonts w:eastAsia="Calibri" w:cs="Times New Roman"/>
                <w:sz w:val="22"/>
                <w:szCs w:val="22"/>
                <w:lang w:eastAsia="en-US"/>
              </w:rPr>
              <w:t xml:space="preserve"> </w:t>
            </w:r>
            <w:r>
              <w:rPr>
                <w:rFonts w:eastAsia="Calibri" w:cs="Times New Roman"/>
                <w:sz w:val="22"/>
                <w:szCs w:val="22"/>
                <w:lang w:eastAsia="en-US"/>
              </w:rPr>
              <w:t xml:space="preserve">wynikających z obowiązku zawarcia umowy ubezpieczenia odpowiedzialności cywilnej z przypadku użytkowania BSP cięższego niż 250g. </w:t>
            </w:r>
            <w:r w:rsidRPr="00A12F6A">
              <w:rPr>
                <w:rFonts w:eastAsia="Calibri" w:cs="Times New Roman"/>
                <w:sz w:val="22"/>
                <w:szCs w:val="22"/>
                <w:lang w:eastAsia="en-US"/>
              </w:rPr>
              <w:t xml:space="preserve">Co do zasady przyjmuje się, że </w:t>
            </w:r>
            <w:r>
              <w:rPr>
                <w:rFonts w:eastAsia="Calibri" w:cs="Times New Roman"/>
                <w:sz w:val="22"/>
                <w:szCs w:val="22"/>
                <w:lang w:eastAsia="en-US"/>
              </w:rPr>
              <w:t xml:space="preserve">ubezpieczenia </w:t>
            </w:r>
            <w:r w:rsidRPr="00A12F6A">
              <w:rPr>
                <w:rFonts w:eastAsia="Calibri" w:cs="Times New Roman"/>
                <w:sz w:val="22"/>
                <w:szCs w:val="22"/>
                <w:lang w:eastAsia="en-US"/>
              </w:rPr>
              <w:t>chronią przed negatywnymi skutkami społecznymi oraz ekonomicznymi</w:t>
            </w:r>
            <w:r>
              <w:rPr>
                <w:rFonts w:eastAsia="Calibri" w:cs="Times New Roman"/>
                <w:sz w:val="22"/>
                <w:szCs w:val="22"/>
                <w:lang w:eastAsia="en-US"/>
              </w:rPr>
              <w:t>,</w:t>
            </w:r>
            <w:r w:rsidRPr="00A12F6A">
              <w:rPr>
                <w:rFonts w:eastAsia="Calibri" w:cs="Times New Roman"/>
                <w:sz w:val="22"/>
                <w:szCs w:val="22"/>
                <w:lang w:eastAsia="en-US"/>
              </w:rPr>
              <w:t xml:space="preserve"> </w:t>
            </w:r>
            <w:r>
              <w:rPr>
                <w:rFonts w:eastAsia="Calibri" w:cs="Times New Roman"/>
                <w:sz w:val="22"/>
                <w:szCs w:val="22"/>
                <w:lang w:eastAsia="en-US"/>
              </w:rPr>
              <w:t>a</w:t>
            </w:r>
            <w:r w:rsidRPr="00A12F6A">
              <w:rPr>
                <w:rFonts w:eastAsia="Calibri" w:cs="Times New Roman"/>
                <w:sz w:val="22"/>
                <w:szCs w:val="22"/>
                <w:lang w:eastAsia="en-US"/>
              </w:rPr>
              <w:t xml:space="preserve"> klasyfikuje się je w</w:t>
            </w:r>
            <w:r w:rsidR="00072270">
              <w:rPr>
                <w:rFonts w:eastAsia="Calibri" w:cs="Times New Roman"/>
                <w:sz w:val="22"/>
                <w:szCs w:val="22"/>
                <w:lang w:eastAsia="en-US"/>
              </w:rPr>
              <w:t> </w:t>
            </w:r>
            <w:r w:rsidRPr="00A12F6A">
              <w:rPr>
                <w:rFonts w:eastAsia="Calibri" w:cs="Times New Roman"/>
                <w:sz w:val="22"/>
                <w:szCs w:val="22"/>
                <w:lang w:eastAsia="en-US"/>
              </w:rPr>
              <w:t>zależności od ich struktury i przeznaczenia, a także w zależności od zjawiska ekonomicznego, któremu mają przeciwdziałać</w:t>
            </w:r>
            <w:r>
              <w:rPr>
                <w:rFonts w:eastAsia="Calibri" w:cs="Times New Roman"/>
                <w:sz w:val="22"/>
                <w:szCs w:val="22"/>
                <w:lang w:eastAsia="en-US"/>
              </w:rPr>
              <w:t>. W omawianym przypadku ź</w:t>
            </w:r>
            <w:r w:rsidRPr="00A12F6A">
              <w:rPr>
                <w:rFonts w:eastAsia="Calibri" w:cs="Times New Roman"/>
                <w:sz w:val="22"/>
                <w:szCs w:val="22"/>
                <w:lang w:eastAsia="en-US"/>
              </w:rPr>
              <w:t xml:space="preserve">ródłem ryzyka </w:t>
            </w:r>
            <w:r>
              <w:rPr>
                <w:rFonts w:eastAsia="Calibri" w:cs="Times New Roman"/>
                <w:sz w:val="22"/>
                <w:szCs w:val="22"/>
                <w:lang w:eastAsia="en-US"/>
              </w:rPr>
              <w:t xml:space="preserve">m.in. </w:t>
            </w:r>
            <w:r w:rsidRPr="00A12F6A">
              <w:rPr>
                <w:rFonts w:eastAsia="Calibri" w:cs="Times New Roman"/>
                <w:sz w:val="22"/>
                <w:szCs w:val="22"/>
                <w:lang w:eastAsia="en-US"/>
              </w:rPr>
              <w:t>są wszelkiego rodzaju zdarzenia gospodarcze, które mogą negatywnie wpłynąć na sytuację finansową ubezpieczonego, a którym podlega każdy podmiot funkcjonujący na wolnym rynku.</w:t>
            </w:r>
            <w:r>
              <w:rPr>
                <w:rFonts w:eastAsia="Calibri" w:cs="Times New Roman"/>
                <w:sz w:val="22"/>
                <w:szCs w:val="22"/>
                <w:lang w:eastAsia="en-US"/>
              </w:rPr>
              <w:t xml:space="preserve"> Dodatkowo będą one miały też wpływ na bezpieczeństwo osób niebędących przedsiębiorcami. Ponieważ posiadanie takiego ubezpieczenia będzie obligatoryjne i stanie się powszechne, koszty składek nie powinny być duże, a w porównaniu z kosztem zakupu samego systemu bezzałogowego statku powietrznego nie powinny w znacznym stopniu obciążać finansowo operatora tego systemu.</w:t>
            </w:r>
          </w:p>
          <w:p w14:paraId="33A202A5" w14:textId="6DAB6C88" w:rsidR="007532AB" w:rsidRPr="004547D4" w:rsidRDefault="007532AB" w:rsidP="007532AB">
            <w:pPr>
              <w:widowControl/>
              <w:autoSpaceDE/>
              <w:autoSpaceDN/>
              <w:adjustRightInd/>
              <w:spacing w:after="120" w:line="240" w:lineRule="auto"/>
              <w:jc w:val="both"/>
              <w:rPr>
                <w:rFonts w:eastAsia="Calibri" w:cs="Times New Roman"/>
                <w:sz w:val="22"/>
                <w:szCs w:val="22"/>
                <w:lang w:eastAsia="en-US"/>
              </w:rPr>
            </w:pPr>
            <w:r w:rsidRPr="004547D4">
              <w:rPr>
                <w:rFonts w:eastAsia="Calibri" w:cs="Times New Roman"/>
                <w:sz w:val="22"/>
                <w:szCs w:val="22"/>
                <w:lang w:eastAsia="en-US"/>
              </w:rPr>
              <w:t>Brak wpływu na sytuację ekonomiczną i społeczną rodziny, a także osób niepełnosprawnych oraz osób starszych.</w:t>
            </w:r>
          </w:p>
        </w:tc>
      </w:tr>
      <w:tr w:rsidR="007532AB" w:rsidRPr="004547D4" w14:paraId="44564490" w14:textId="77777777" w:rsidTr="0039465C">
        <w:trPr>
          <w:trHeight w:val="342"/>
        </w:trPr>
        <w:tc>
          <w:tcPr>
            <w:tcW w:w="10207" w:type="dxa"/>
            <w:gridSpan w:val="26"/>
            <w:shd w:val="clear" w:color="auto" w:fill="99CCFF"/>
            <w:vAlign w:val="center"/>
          </w:tcPr>
          <w:p w14:paraId="2FF77BD4" w14:textId="77777777" w:rsidR="007532AB" w:rsidRPr="004547D4" w:rsidRDefault="007532AB" w:rsidP="007532AB">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 xml:space="preserve"> Zmiana obciążeń regulacyjnych (w tym obowiązków informacyjnych) wynikających z projektu</w:t>
            </w:r>
          </w:p>
        </w:tc>
      </w:tr>
      <w:tr w:rsidR="007532AB" w:rsidRPr="004547D4" w14:paraId="285C1262" w14:textId="77777777" w:rsidTr="0039465C">
        <w:trPr>
          <w:trHeight w:val="151"/>
        </w:trPr>
        <w:tc>
          <w:tcPr>
            <w:tcW w:w="10207" w:type="dxa"/>
            <w:gridSpan w:val="26"/>
            <w:shd w:val="clear" w:color="auto" w:fill="FFFFFF" w:themeFill="background1"/>
          </w:tcPr>
          <w:p w14:paraId="3C912C44"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nie dotyczy</w:t>
            </w:r>
          </w:p>
        </w:tc>
      </w:tr>
      <w:tr w:rsidR="007532AB" w:rsidRPr="004547D4" w14:paraId="2A39CCF3" w14:textId="77777777" w:rsidTr="0039465C">
        <w:trPr>
          <w:trHeight w:val="946"/>
        </w:trPr>
        <w:tc>
          <w:tcPr>
            <w:tcW w:w="5111" w:type="dxa"/>
            <w:gridSpan w:val="10"/>
            <w:shd w:val="clear" w:color="auto" w:fill="FFFFFF" w:themeFill="background1"/>
          </w:tcPr>
          <w:p w14:paraId="6F39FFBB" w14:textId="77777777" w:rsidR="007532AB" w:rsidRPr="004547D4" w:rsidRDefault="007532AB" w:rsidP="007532AB">
            <w:pPr>
              <w:widowControl/>
              <w:autoSpaceDE/>
              <w:autoSpaceDN/>
              <w:adjustRightInd/>
              <w:spacing w:line="276"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Wprowadzane są obciążenia poza bezwzględnie wymaganymi przez UE </w:t>
            </w:r>
            <w:r w:rsidRPr="004547D4">
              <w:rPr>
                <w:rFonts w:eastAsia="Calibri" w:cs="Times New Roman"/>
                <w:sz w:val="22"/>
                <w:szCs w:val="22"/>
                <w:lang w:eastAsia="en-US"/>
              </w:rPr>
              <w:t>(szczegóły w odwróconej tabeli zgodności).</w:t>
            </w:r>
          </w:p>
        </w:tc>
        <w:tc>
          <w:tcPr>
            <w:tcW w:w="5096" w:type="dxa"/>
            <w:gridSpan w:val="16"/>
            <w:shd w:val="clear" w:color="auto" w:fill="FFFFFF" w:themeFill="background1"/>
          </w:tcPr>
          <w:p w14:paraId="1F14A9BD"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tak</w:t>
            </w:r>
          </w:p>
          <w:p w14:paraId="76C0746D"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nie</w:t>
            </w:r>
          </w:p>
          <w:p w14:paraId="503F5F5A" w14:textId="77777777" w:rsidR="007532AB" w:rsidRPr="004547D4" w:rsidRDefault="007532AB" w:rsidP="007532AB">
            <w:pPr>
              <w:widowControl/>
              <w:autoSpaceDE/>
              <w:autoSpaceDN/>
              <w:adjustRightInd/>
              <w:spacing w:line="276"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nie dotyczy</w:t>
            </w:r>
          </w:p>
        </w:tc>
      </w:tr>
      <w:tr w:rsidR="007532AB" w:rsidRPr="004547D4" w14:paraId="768025FE" w14:textId="77777777" w:rsidTr="0039465C">
        <w:trPr>
          <w:trHeight w:val="1245"/>
        </w:trPr>
        <w:tc>
          <w:tcPr>
            <w:tcW w:w="5111" w:type="dxa"/>
            <w:gridSpan w:val="10"/>
            <w:shd w:val="clear" w:color="auto" w:fill="FFFFFF" w:themeFill="background1"/>
          </w:tcPr>
          <w:p w14:paraId="0678442C"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 xml:space="preserve">zmniejszenie liczby dokumentów </w:t>
            </w:r>
          </w:p>
          <w:p w14:paraId="4EDC00CF"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zmniejszenie liczby procedur</w:t>
            </w:r>
          </w:p>
          <w:p w14:paraId="6917E135"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skrócenie czasu na załatwienie sprawy</w:t>
            </w:r>
          </w:p>
          <w:p w14:paraId="5427B08E" w14:textId="77777777" w:rsidR="007532AB" w:rsidRPr="004547D4" w:rsidRDefault="007532AB" w:rsidP="007532AB">
            <w:pPr>
              <w:widowControl/>
              <w:autoSpaceDE/>
              <w:autoSpaceDN/>
              <w:adjustRightInd/>
              <w:spacing w:line="276" w:lineRule="auto"/>
              <w:rPr>
                <w:rFonts w:eastAsia="Calibri" w:cs="Times New Roman"/>
                <w:b/>
                <w:spacing w:val="-2"/>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inne:</w:t>
            </w:r>
            <w:r w:rsidRPr="004547D4">
              <w:rPr>
                <w:rFonts w:eastAsia="Calibri" w:cs="Times New Roman"/>
                <w:sz w:val="22"/>
                <w:szCs w:val="22"/>
                <w:lang w:eastAsia="en-US"/>
              </w:rPr>
              <w:t xml:space="preserve"> </w:t>
            </w:r>
            <w:r w:rsidRPr="004547D4">
              <w:rPr>
                <w:rFonts w:eastAsia="Calibri" w:cs="Times New Roman"/>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547D4">
              <w:rPr>
                <w:rFonts w:eastAsia="Calibri" w:cs="Times New Roman"/>
                <w:sz w:val="22"/>
                <w:szCs w:val="22"/>
                <w:lang w:eastAsia="en-US"/>
              </w:rPr>
              <w:instrText xml:space="preserve"> FORMTEXT </w:instrText>
            </w:r>
            <w:r w:rsidRPr="004547D4">
              <w:rPr>
                <w:rFonts w:eastAsia="Calibri" w:cs="Times New Roman"/>
                <w:sz w:val="22"/>
                <w:szCs w:val="22"/>
                <w:lang w:eastAsia="en-US"/>
              </w:rPr>
            </w:r>
            <w:r w:rsidRPr="004547D4">
              <w:rPr>
                <w:rFonts w:eastAsia="Calibri" w:cs="Times New Roman"/>
                <w:sz w:val="22"/>
                <w:szCs w:val="22"/>
                <w:lang w:eastAsia="en-US"/>
              </w:rPr>
              <w:fldChar w:fldCharType="separate"/>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sz w:val="22"/>
                <w:szCs w:val="22"/>
                <w:lang w:eastAsia="en-US"/>
              </w:rPr>
              <w:fldChar w:fldCharType="end"/>
            </w:r>
          </w:p>
        </w:tc>
        <w:tc>
          <w:tcPr>
            <w:tcW w:w="5096" w:type="dxa"/>
            <w:gridSpan w:val="16"/>
            <w:shd w:val="clear" w:color="auto" w:fill="FFFFFF" w:themeFill="background1"/>
          </w:tcPr>
          <w:p w14:paraId="11AD0C8F"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zwiększenie liczby dokumentów</w:t>
            </w:r>
          </w:p>
          <w:p w14:paraId="36C77CAD"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zwiększenie liczby procedur</w:t>
            </w:r>
          </w:p>
          <w:p w14:paraId="1E06D191"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wydłużenie czasu na załatwienie sprawy</w:t>
            </w:r>
          </w:p>
          <w:p w14:paraId="06A25D8E"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inne:</w:t>
            </w:r>
            <w:r w:rsidRPr="004547D4">
              <w:rPr>
                <w:rFonts w:eastAsia="Calibri" w:cs="Times New Roman"/>
                <w:sz w:val="22"/>
                <w:szCs w:val="22"/>
                <w:lang w:eastAsia="en-US"/>
              </w:rPr>
              <w:t xml:space="preserve"> </w:t>
            </w:r>
            <w:r w:rsidRPr="004547D4">
              <w:rPr>
                <w:rFonts w:eastAsia="Calibri" w:cs="Times New Roman"/>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547D4">
              <w:rPr>
                <w:rFonts w:eastAsia="Calibri" w:cs="Times New Roman"/>
                <w:sz w:val="22"/>
                <w:szCs w:val="22"/>
                <w:lang w:eastAsia="en-US"/>
              </w:rPr>
              <w:instrText xml:space="preserve"> FORMTEXT </w:instrText>
            </w:r>
            <w:r w:rsidRPr="004547D4">
              <w:rPr>
                <w:rFonts w:eastAsia="Calibri" w:cs="Times New Roman"/>
                <w:sz w:val="22"/>
                <w:szCs w:val="22"/>
                <w:lang w:eastAsia="en-US"/>
              </w:rPr>
            </w:r>
            <w:r w:rsidRPr="004547D4">
              <w:rPr>
                <w:rFonts w:eastAsia="Calibri" w:cs="Times New Roman"/>
                <w:sz w:val="22"/>
                <w:szCs w:val="22"/>
                <w:lang w:eastAsia="en-US"/>
              </w:rPr>
              <w:fldChar w:fldCharType="separate"/>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sz w:val="22"/>
                <w:szCs w:val="22"/>
                <w:lang w:eastAsia="en-US"/>
              </w:rPr>
              <w:fldChar w:fldCharType="end"/>
            </w:r>
          </w:p>
          <w:p w14:paraId="1DEBB4B4"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tc>
      </w:tr>
      <w:tr w:rsidR="007532AB" w:rsidRPr="004547D4" w14:paraId="0C3AB97C" w14:textId="77777777" w:rsidTr="0039465C">
        <w:trPr>
          <w:trHeight w:val="870"/>
        </w:trPr>
        <w:tc>
          <w:tcPr>
            <w:tcW w:w="5111" w:type="dxa"/>
            <w:gridSpan w:val="10"/>
            <w:shd w:val="clear" w:color="auto" w:fill="FFFFFF" w:themeFill="background1"/>
          </w:tcPr>
          <w:p w14:paraId="2D3E81DA"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pacing w:val="-2"/>
                <w:sz w:val="22"/>
                <w:szCs w:val="22"/>
                <w:lang w:eastAsia="en-US"/>
              </w:rPr>
              <w:t xml:space="preserve">Wprowadzane obciążenia są przystosowane do ich elektronizacji. </w:t>
            </w:r>
          </w:p>
        </w:tc>
        <w:tc>
          <w:tcPr>
            <w:tcW w:w="5096" w:type="dxa"/>
            <w:gridSpan w:val="16"/>
            <w:shd w:val="clear" w:color="auto" w:fill="FFFFFF" w:themeFill="background1"/>
          </w:tcPr>
          <w:p w14:paraId="52085658"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tak</w:t>
            </w:r>
          </w:p>
          <w:p w14:paraId="24E5591E" w14:textId="76182744"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Pr>
                <w:rFonts w:eastAsia="Calibri" w:cs="Times New Roman"/>
                <w:sz w:val="22"/>
                <w:szCs w:val="22"/>
                <w:lang w:eastAsia="en-US"/>
              </w:rPr>
              <w:t xml:space="preserve"> </w:t>
            </w:r>
            <w:r w:rsidRPr="004547D4">
              <w:rPr>
                <w:rFonts w:eastAsia="Calibri" w:cs="Times New Roman"/>
                <w:sz w:val="22"/>
                <w:szCs w:val="22"/>
                <w:lang w:eastAsia="en-US"/>
              </w:rPr>
              <w:t>nie</w:t>
            </w:r>
          </w:p>
          <w:p w14:paraId="0D98A400"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nie dotyczy</w:t>
            </w:r>
          </w:p>
          <w:p w14:paraId="33D84E25"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tc>
      </w:tr>
      <w:tr w:rsidR="007532AB" w:rsidRPr="004547D4" w14:paraId="1853D308" w14:textId="77777777" w:rsidTr="0039465C">
        <w:trPr>
          <w:trHeight w:val="630"/>
        </w:trPr>
        <w:tc>
          <w:tcPr>
            <w:tcW w:w="10207" w:type="dxa"/>
            <w:gridSpan w:val="26"/>
            <w:shd w:val="clear" w:color="auto" w:fill="FFFFFF" w:themeFill="background1"/>
          </w:tcPr>
          <w:p w14:paraId="1B8179F5" w14:textId="4E7B34AD" w:rsidR="007532AB" w:rsidRPr="006C2871" w:rsidRDefault="007532AB" w:rsidP="007532AB">
            <w:pPr>
              <w:widowControl/>
              <w:autoSpaceDE/>
              <w:autoSpaceDN/>
              <w:adjustRightInd/>
              <w:spacing w:before="120"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 xml:space="preserve">Uwzględniając przepisy prawa UE zgodnie z projektowaną regulacją stosowane będą w szczególności następujące </w:t>
            </w:r>
            <w:r w:rsidRPr="006C2871">
              <w:rPr>
                <w:rFonts w:eastAsia="Calibri" w:cs="Times New Roman"/>
                <w:bCs/>
                <w:sz w:val="22"/>
                <w:szCs w:val="22"/>
                <w:lang w:eastAsia="en-US"/>
              </w:rPr>
              <w:t>dokumenty:</w:t>
            </w:r>
          </w:p>
          <w:p w14:paraId="513079B4" w14:textId="1AB0E37C"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 xml:space="preserve">zezwolenie na wykonywanie lotów międzynarodowych z użyciem systemu </w:t>
            </w:r>
            <w:r>
              <w:rPr>
                <w:rFonts w:eastAsia="Calibri" w:cs="Times New Roman"/>
                <w:sz w:val="22"/>
                <w:szCs w:val="22"/>
                <w:lang w:eastAsia="en-US"/>
              </w:rPr>
              <w:t>BSP</w:t>
            </w:r>
            <w:r w:rsidRPr="006C2871">
              <w:rPr>
                <w:rFonts w:eastAsia="Calibri" w:cs="Times New Roman"/>
                <w:sz w:val="22"/>
                <w:szCs w:val="22"/>
                <w:lang w:eastAsia="en-US"/>
              </w:rPr>
              <w:t xml:space="preserve"> przez operatora systemu BSP z państwa trzeciego;</w:t>
            </w:r>
          </w:p>
          <w:p w14:paraId="4BB9D617" w14:textId="2CA60F27"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zezwolenie na wykonywanie operacji z użyciem BSP;</w:t>
            </w:r>
          </w:p>
          <w:p w14:paraId="24033244" w14:textId="5FDF8B68"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zezwolenie na operacje z użycie BSP w ramach klubów lub stowarzyszeń modelarstwa lotniczego;</w:t>
            </w:r>
          </w:p>
          <w:p w14:paraId="47569435" w14:textId="77777777"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certyfikat LUC;</w:t>
            </w:r>
          </w:p>
          <w:p w14:paraId="29AC2722" w14:textId="2ED63F07"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certyfikat operatora systemu BSP;</w:t>
            </w:r>
          </w:p>
          <w:p w14:paraId="4C660151" w14:textId="77777777" w:rsidR="007532AB" w:rsidRPr="006C2871" w:rsidRDefault="007532AB" w:rsidP="007532AB">
            <w:pPr>
              <w:widowControl/>
              <w:numPr>
                <w:ilvl w:val="0"/>
                <w:numId w:val="19"/>
              </w:numPr>
              <w:autoSpaceDE/>
              <w:autoSpaceDN/>
              <w:adjustRightInd/>
              <w:spacing w:line="240" w:lineRule="auto"/>
              <w:jc w:val="both"/>
              <w:rPr>
                <w:rFonts w:eastAsia="Calibri" w:cs="Times New Roman"/>
                <w:bCs/>
                <w:sz w:val="22"/>
                <w:szCs w:val="22"/>
                <w:lang w:eastAsia="en-US"/>
              </w:rPr>
            </w:pPr>
            <w:r w:rsidRPr="006C2871">
              <w:rPr>
                <w:rFonts w:eastAsia="Calibri" w:cs="Times New Roman"/>
                <w:bCs/>
                <w:sz w:val="22"/>
                <w:szCs w:val="22"/>
                <w:lang w:eastAsia="en-US"/>
              </w:rPr>
              <w:t>potwierdzenie zaliczenia szkolenia i zdania egzaminu online;</w:t>
            </w:r>
          </w:p>
          <w:p w14:paraId="004D6296" w14:textId="77777777" w:rsidR="007532AB" w:rsidRPr="006C2871" w:rsidRDefault="007532AB" w:rsidP="007532AB">
            <w:pPr>
              <w:widowControl/>
              <w:numPr>
                <w:ilvl w:val="0"/>
                <w:numId w:val="19"/>
              </w:numPr>
              <w:autoSpaceDE/>
              <w:autoSpaceDN/>
              <w:adjustRightInd/>
              <w:spacing w:line="240" w:lineRule="auto"/>
              <w:jc w:val="both"/>
              <w:rPr>
                <w:rFonts w:eastAsia="Calibri" w:cs="Times New Roman"/>
                <w:bCs/>
                <w:sz w:val="22"/>
                <w:szCs w:val="22"/>
                <w:lang w:eastAsia="en-US"/>
              </w:rPr>
            </w:pPr>
            <w:r w:rsidRPr="006C2871">
              <w:rPr>
                <w:rFonts w:eastAsia="Calibri" w:cs="Times New Roman"/>
                <w:bCs/>
                <w:sz w:val="22"/>
                <w:szCs w:val="22"/>
                <w:lang w:eastAsia="en-US"/>
              </w:rPr>
              <w:t xml:space="preserve">certyfikat kompetencji pilota bezzałogowego statku powietrznego; </w:t>
            </w:r>
          </w:p>
          <w:p w14:paraId="070CA04D" w14:textId="6A823CCB"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certyfikat wiedzy teoretycznej i potwierdzenia ukończenia szkolenia praktycznego;</w:t>
            </w:r>
          </w:p>
          <w:p w14:paraId="216325BE" w14:textId="65ED9C38" w:rsidR="007532AB" w:rsidRPr="006C2871"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potwierdzenie odbioru i kompletności oświadczenia o operacjach zgodnych scenariuszem standardowym;</w:t>
            </w:r>
          </w:p>
          <w:p w14:paraId="2B788A22" w14:textId="3C2E4570" w:rsidR="007532AB" w:rsidRPr="00262C86" w:rsidRDefault="007532AB" w:rsidP="007532AB">
            <w:pPr>
              <w:widowControl/>
              <w:numPr>
                <w:ilvl w:val="0"/>
                <w:numId w:val="19"/>
              </w:numPr>
              <w:autoSpaceDE/>
              <w:autoSpaceDN/>
              <w:adjustRightInd/>
              <w:spacing w:line="240" w:lineRule="auto"/>
              <w:jc w:val="both"/>
              <w:rPr>
                <w:rFonts w:eastAsia="Calibri" w:cs="Times New Roman"/>
                <w:sz w:val="22"/>
                <w:szCs w:val="22"/>
                <w:lang w:eastAsia="en-US"/>
              </w:rPr>
            </w:pPr>
            <w:r w:rsidRPr="00262C86">
              <w:rPr>
                <w:rFonts w:eastAsia="Calibri" w:cs="Times New Roman"/>
                <w:sz w:val="22"/>
                <w:szCs w:val="22"/>
                <w:lang w:eastAsia="en-US"/>
              </w:rPr>
              <w:t>wniosek o wyznaczenie, przedłużenie okresu obowiązywania, ponowne wyznaczenie strefy geograficznej dla BSP.</w:t>
            </w:r>
          </w:p>
          <w:p w14:paraId="4A57F3D2" w14:textId="77777777"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Jednocześnie zgodnie z projektowaną regulacją stosowane będą w szczególności następujące procedury:</w:t>
            </w:r>
          </w:p>
          <w:p w14:paraId="2B31A558" w14:textId="77777777" w:rsidR="007532AB" w:rsidRPr="004547D4" w:rsidRDefault="007532AB" w:rsidP="007532AB">
            <w:pPr>
              <w:widowControl/>
              <w:numPr>
                <w:ilvl w:val="0"/>
                <w:numId w:val="20"/>
              </w:numPr>
              <w:autoSpaceDE/>
              <w:autoSpaceDN/>
              <w:adjustRightInd/>
              <w:spacing w:before="120" w:after="120" w:line="240" w:lineRule="auto"/>
              <w:ind w:left="357" w:hanging="357"/>
              <w:jc w:val="both"/>
              <w:rPr>
                <w:rFonts w:eastAsia="Calibri" w:cs="Times New Roman"/>
                <w:sz w:val="22"/>
                <w:szCs w:val="22"/>
                <w:lang w:eastAsia="en-US"/>
              </w:rPr>
            </w:pPr>
            <w:r w:rsidRPr="004547D4">
              <w:rPr>
                <w:rFonts w:eastAsia="Calibri" w:cs="Times New Roman"/>
                <w:sz w:val="22"/>
                <w:szCs w:val="22"/>
                <w:lang w:eastAsia="en-US"/>
              </w:rPr>
              <w:t>w zakresie właściwości Prezesa ULC:</w:t>
            </w:r>
          </w:p>
          <w:p w14:paraId="6E100218" w14:textId="77777777" w:rsidR="007532AB" w:rsidRPr="00503565"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autoryzowanie jednostek </w:t>
            </w:r>
            <w:r w:rsidRPr="00503565">
              <w:rPr>
                <w:rFonts w:eastAsia="Calibri" w:cs="Times New Roman"/>
                <w:sz w:val="22"/>
                <w:szCs w:val="22"/>
                <w:lang w:eastAsia="en-US"/>
              </w:rPr>
              <w:t>oceniających zgodność systemów BSP oraz notyfikowanie tych jednostek Komisji Europejskiej oraz innym państwom członkowskim UE,</w:t>
            </w:r>
          </w:p>
          <w:p w14:paraId="64EFDEC0" w14:textId="74D81430" w:rsidR="007532AB" w:rsidRPr="00503565"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503565">
              <w:rPr>
                <w:rFonts w:eastAsia="Calibri" w:cs="Times New Roman"/>
                <w:sz w:val="22"/>
                <w:szCs w:val="22"/>
                <w:lang w:eastAsia="en-US"/>
              </w:rPr>
              <w:t xml:space="preserve">prowadzenie kontroli spełniania przez systemy BSP wymagań, kontroli w zakresie stwarzania przez systemy BSP zagrożenia i kontroli w zakresie niezgodności formalnych, a także prowadzenia postępowań </w:t>
            </w:r>
            <w:r w:rsidRPr="00503565">
              <w:rPr>
                <w:sz w:val="22"/>
                <w:szCs w:val="22"/>
              </w:rPr>
              <w:t xml:space="preserve">w sprawie wprowadzonych do obrotu lub oddanych do użytku </w:t>
            </w:r>
            <w:r>
              <w:rPr>
                <w:sz w:val="22"/>
                <w:szCs w:val="22"/>
              </w:rPr>
              <w:t>systemów</w:t>
            </w:r>
            <w:r w:rsidRPr="00503565">
              <w:rPr>
                <w:sz w:val="22"/>
                <w:szCs w:val="22"/>
              </w:rPr>
              <w:t xml:space="preserve"> </w:t>
            </w:r>
            <w:r>
              <w:rPr>
                <w:sz w:val="22"/>
                <w:szCs w:val="22"/>
              </w:rPr>
              <w:t>BSP niezgodnych z</w:t>
            </w:r>
            <w:r w:rsidR="00072270">
              <w:rPr>
                <w:sz w:val="22"/>
                <w:szCs w:val="22"/>
              </w:rPr>
              <w:t> </w:t>
            </w:r>
            <w:r>
              <w:rPr>
                <w:sz w:val="22"/>
                <w:szCs w:val="22"/>
              </w:rPr>
              <w:t>wymaganiami, stwarzających zagrożenie lub w odniesieniu do których</w:t>
            </w:r>
            <w:r w:rsidRPr="00503565">
              <w:rPr>
                <w:sz w:val="22"/>
                <w:szCs w:val="22"/>
              </w:rPr>
              <w:t xml:space="preserve"> stwierdzono niezgodności formalne</w:t>
            </w:r>
            <w:r>
              <w:rPr>
                <w:sz w:val="22"/>
                <w:szCs w:val="22"/>
              </w:rPr>
              <w:t>,</w:t>
            </w:r>
          </w:p>
          <w:p w14:paraId="794790F5" w14:textId="2F8037F8"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503565">
              <w:rPr>
                <w:rFonts w:eastAsia="Calibri" w:cs="Times New Roman"/>
                <w:sz w:val="22"/>
                <w:szCs w:val="22"/>
                <w:lang w:eastAsia="en-US"/>
              </w:rPr>
              <w:t xml:space="preserve">wydawanie zezwolenia na wykonywanie lotów międzynarodowych </w:t>
            </w:r>
            <w:r w:rsidRPr="004547D4">
              <w:rPr>
                <w:rFonts w:eastAsia="Calibri" w:cs="Times New Roman"/>
                <w:sz w:val="22"/>
                <w:szCs w:val="22"/>
                <w:lang w:eastAsia="en-US"/>
              </w:rPr>
              <w:t xml:space="preserve">z użyciem systemu </w:t>
            </w:r>
            <w:r>
              <w:rPr>
                <w:rFonts w:eastAsia="Calibri" w:cs="Times New Roman"/>
                <w:sz w:val="22"/>
                <w:szCs w:val="22"/>
                <w:lang w:eastAsia="en-US"/>
              </w:rPr>
              <w:t>BSP</w:t>
            </w:r>
            <w:r w:rsidRPr="004547D4">
              <w:rPr>
                <w:rFonts w:eastAsia="Calibri" w:cs="Times New Roman"/>
                <w:sz w:val="22"/>
                <w:szCs w:val="22"/>
                <w:lang w:eastAsia="en-US"/>
              </w:rPr>
              <w:t xml:space="preserve"> przez operatora systemu </w:t>
            </w:r>
            <w:r>
              <w:rPr>
                <w:rFonts w:eastAsia="Calibri" w:cs="Times New Roman"/>
                <w:sz w:val="22"/>
                <w:szCs w:val="22"/>
                <w:lang w:eastAsia="en-US"/>
              </w:rPr>
              <w:t>BSP</w:t>
            </w:r>
            <w:r w:rsidRPr="004547D4">
              <w:rPr>
                <w:rFonts w:eastAsia="Calibri" w:cs="Times New Roman"/>
                <w:sz w:val="22"/>
                <w:szCs w:val="22"/>
                <w:lang w:eastAsia="en-US"/>
              </w:rPr>
              <w:t xml:space="preserve"> z państwa trzeciego,</w:t>
            </w:r>
          </w:p>
          <w:p w14:paraId="4991124C" w14:textId="2ABF93C0"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zawieszanie i cofanie zezwolenia na wykonywanie operacji z użyciem </w:t>
            </w:r>
            <w:r>
              <w:rPr>
                <w:rFonts w:eastAsia="Calibri" w:cs="Times New Roman"/>
                <w:sz w:val="22"/>
                <w:szCs w:val="22"/>
                <w:lang w:eastAsia="en-US"/>
              </w:rPr>
              <w:t>systemu BSP</w:t>
            </w:r>
            <w:r w:rsidRPr="004547D4">
              <w:rPr>
                <w:rFonts w:eastAsia="Calibri" w:cs="Times New Roman"/>
                <w:sz w:val="22"/>
                <w:szCs w:val="22"/>
                <w:lang w:eastAsia="en-US"/>
              </w:rPr>
              <w:t>,</w:t>
            </w:r>
          </w:p>
          <w:p w14:paraId="5D77BADC" w14:textId="7777777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 którym mowa w art. 13 ust. 2 rozporządzenia wykonawczego,</w:t>
            </w:r>
          </w:p>
          <w:p w14:paraId="55486E2D" w14:textId="7777777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odbioru i kompletności oświadczenia, o którym mowa w art. 5 ust. 5 rozporządzenia wykonawczego,</w:t>
            </w:r>
          </w:p>
          <w:p w14:paraId="56B78F89" w14:textId="135CF641"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potwierdzenia odbioru i kompletności oświadczenia o wykonywaniu operacji systemem </w:t>
            </w:r>
            <w:r>
              <w:rPr>
                <w:rFonts w:eastAsia="Calibri" w:cs="Times New Roman"/>
                <w:sz w:val="22"/>
                <w:szCs w:val="22"/>
                <w:lang w:eastAsia="en-US"/>
              </w:rPr>
              <w:t>BSP</w:t>
            </w:r>
            <w:r w:rsidRPr="004547D4">
              <w:rPr>
                <w:rFonts w:eastAsia="Calibri" w:cs="Times New Roman"/>
                <w:sz w:val="22"/>
                <w:szCs w:val="22"/>
                <w:lang w:eastAsia="en-US"/>
              </w:rPr>
              <w:t xml:space="preserve"> zgodnie z krajowym scenariuszem standardowym,</w:t>
            </w:r>
          </w:p>
          <w:p w14:paraId="5B0A56C8" w14:textId="7777777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zmiana, cofanie certyfikatu LUC,</w:t>
            </w:r>
          </w:p>
          <w:p w14:paraId="36B01298" w14:textId="1773A9A0"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zawieszanie i cofanie certyfikatu operatora systemu </w:t>
            </w:r>
            <w:r>
              <w:rPr>
                <w:rFonts w:eastAsia="Calibri" w:cs="Times New Roman"/>
                <w:sz w:val="22"/>
                <w:szCs w:val="22"/>
                <w:lang w:eastAsia="en-US"/>
              </w:rPr>
              <w:t>BSP</w:t>
            </w:r>
            <w:r w:rsidRPr="004547D4">
              <w:rPr>
                <w:rFonts w:eastAsia="Calibri" w:cs="Times New Roman"/>
                <w:sz w:val="22"/>
                <w:szCs w:val="22"/>
                <w:lang w:eastAsia="en-US"/>
              </w:rPr>
              <w:t>,</w:t>
            </w:r>
          </w:p>
          <w:p w14:paraId="1BC62631" w14:textId="269E36C5"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i cofanie zezwolenia na operacje z użycie</w:t>
            </w:r>
            <w:r>
              <w:rPr>
                <w:rFonts w:eastAsia="Calibri" w:cs="Times New Roman"/>
                <w:sz w:val="22"/>
                <w:szCs w:val="22"/>
                <w:lang w:eastAsia="en-US"/>
              </w:rPr>
              <w:t>m</w:t>
            </w:r>
            <w:r w:rsidRPr="004547D4">
              <w:rPr>
                <w:rFonts w:eastAsia="Calibri" w:cs="Times New Roman"/>
                <w:sz w:val="22"/>
                <w:szCs w:val="22"/>
                <w:lang w:eastAsia="en-US"/>
              </w:rPr>
              <w:t xml:space="preserve"> systemów </w:t>
            </w:r>
            <w:r>
              <w:rPr>
                <w:rFonts w:eastAsia="Calibri" w:cs="Times New Roman"/>
                <w:sz w:val="22"/>
                <w:szCs w:val="22"/>
                <w:lang w:eastAsia="en-US"/>
              </w:rPr>
              <w:t>BSP</w:t>
            </w:r>
            <w:r w:rsidRPr="004547D4">
              <w:rPr>
                <w:rFonts w:eastAsia="Calibri" w:cs="Times New Roman"/>
                <w:sz w:val="22"/>
                <w:szCs w:val="22"/>
                <w:lang w:eastAsia="en-US"/>
              </w:rPr>
              <w:t xml:space="preserve"> w ramach klubów lub stowarzyszeń modelarstwa lotniczego,</w:t>
            </w:r>
          </w:p>
          <w:p w14:paraId="1BB3D888" w14:textId="1EA7F4B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prowadzenie rejestru operatorów systemów </w:t>
            </w:r>
            <w:r>
              <w:rPr>
                <w:rFonts w:eastAsia="Calibri" w:cs="Times New Roman"/>
                <w:sz w:val="22"/>
                <w:szCs w:val="22"/>
                <w:lang w:eastAsia="en-US"/>
              </w:rPr>
              <w:t>BSP</w:t>
            </w:r>
            <w:r w:rsidRPr="004547D4">
              <w:rPr>
                <w:rFonts w:eastAsia="Calibri" w:cs="Times New Roman"/>
                <w:sz w:val="22"/>
                <w:szCs w:val="22"/>
                <w:lang w:eastAsia="en-US"/>
              </w:rPr>
              <w:t>, w tym dokonywanie wpisów, adnotacji, wykreśleń,</w:t>
            </w:r>
          </w:p>
          <w:p w14:paraId="5D868BC2" w14:textId="0E80503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udostępnianie danych z rejestru operatorów systemów </w:t>
            </w:r>
            <w:r>
              <w:rPr>
                <w:rFonts w:eastAsia="Calibri" w:cs="Times New Roman"/>
                <w:sz w:val="22"/>
                <w:szCs w:val="22"/>
                <w:lang w:eastAsia="en-US"/>
              </w:rPr>
              <w:t>BSP</w:t>
            </w:r>
            <w:r w:rsidRPr="004547D4">
              <w:rPr>
                <w:rFonts w:eastAsia="Calibri" w:cs="Times New Roman"/>
                <w:sz w:val="22"/>
                <w:szCs w:val="22"/>
                <w:lang w:eastAsia="en-US"/>
              </w:rPr>
              <w:t xml:space="preserve"> innym organom państwa,</w:t>
            </w:r>
          </w:p>
          <w:p w14:paraId="0DAC6DB7" w14:textId="58B555F0"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wyznaczanie </w:t>
            </w:r>
            <w:r>
              <w:rPr>
                <w:rFonts w:eastAsia="Calibri" w:cs="Times New Roman"/>
                <w:sz w:val="22"/>
                <w:szCs w:val="22"/>
                <w:lang w:eastAsia="en-US"/>
              </w:rPr>
              <w:t>podmiotu uprawnionego prowadzenia szkoleń i egzaminów</w:t>
            </w:r>
            <w:r w:rsidRPr="004547D4">
              <w:rPr>
                <w:rFonts w:eastAsia="Calibri" w:cs="Times New Roman"/>
                <w:sz w:val="22"/>
                <w:szCs w:val="22"/>
                <w:lang w:eastAsia="en-US"/>
              </w:rPr>
              <w:t>,</w:t>
            </w:r>
          </w:p>
          <w:p w14:paraId="2AF9CFF6" w14:textId="7777777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uznawanie podmiotu, który złożył oświadczenie, o którym mowa w dodatku 6 do załącznika do rozporządzenia wykonawczego,</w:t>
            </w:r>
          </w:p>
          <w:p w14:paraId="4CABD8F9" w14:textId="77777777"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zawieszanie i cofanie potwierdzenia zaliczenia szkolenia i zdania egzaminu online,</w:t>
            </w:r>
          </w:p>
          <w:p w14:paraId="77AFA2AB" w14:textId="6B92171C" w:rsidR="007532AB" w:rsidRPr="004547D4"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zawieszanie i cofanie certyfikatu kompetencji pilota </w:t>
            </w:r>
            <w:r>
              <w:rPr>
                <w:rFonts w:eastAsia="Calibri" w:cs="Times New Roman"/>
                <w:sz w:val="22"/>
                <w:szCs w:val="22"/>
                <w:lang w:eastAsia="en-US"/>
              </w:rPr>
              <w:t>BSP</w:t>
            </w:r>
            <w:r w:rsidRPr="004547D4">
              <w:rPr>
                <w:rFonts w:eastAsia="Calibri" w:cs="Times New Roman"/>
                <w:sz w:val="22"/>
                <w:szCs w:val="22"/>
                <w:lang w:eastAsia="en-US"/>
              </w:rPr>
              <w:t xml:space="preserve">; </w:t>
            </w:r>
          </w:p>
          <w:p w14:paraId="21791827" w14:textId="706099B7" w:rsidR="007532AB" w:rsidRPr="00F455B1" w:rsidRDefault="007532AB" w:rsidP="007532AB">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zawieszanie i cofanie certyfikatu wiedzy teoretycznej i potwierdzenia ukończenia szkolenia praktycznego;</w:t>
            </w:r>
          </w:p>
          <w:p w14:paraId="33A12813" w14:textId="77777777" w:rsidR="007532AB" w:rsidRPr="004547D4" w:rsidRDefault="007532AB" w:rsidP="007532AB">
            <w:pPr>
              <w:widowControl/>
              <w:numPr>
                <w:ilvl w:val="0"/>
                <w:numId w:val="20"/>
              </w:numPr>
              <w:autoSpaceDE/>
              <w:autoSpaceDN/>
              <w:adjustRightInd/>
              <w:spacing w:before="120" w:after="120" w:line="240" w:lineRule="auto"/>
              <w:ind w:left="357" w:hanging="357"/>
              <w:jc w:val="both"/>
              <w:rPr>
                <w:rFonts w:eastAsia="Calibri" w:cs="Times New Roman"/>
                <w:sz w:val="22"/>
                <w:szCs w:val="22"/>
                <w:lang w:eastAsia="en-US"/>
              </w:rPr>
            </w:pPr>
            <w:r w:rsidRPr="004547D4">
              <w:rPr>
                <w:rFonts w:eastAsia="Calibri" w:cs="Times New Roman"/>
                <w:sz w:val="22"/>
                <w:szCs w:val="22"/>
                <w:lang w:eastAsia="en-US"/>
              </w:rPr>
              <w:t>w zakresie właściwości PAŻP:</w:t>
            </w:r>
          </w:p>
          <w:p w14:paraId="488B37F8" w14:textId="5FE8FDB7" w:rsidR="007532AB" w:rsidRPr="004547D4" w:rsidRDefault="007532AB" w:rsidP="007532AB">
            <w:pPr>
              <w:widowControl/>
              <w:numPr>
                <w:ilvl w:val="0"/>
                <w:numId w:val="22"/>
              </w:numPr>
              <w:autoSpaceDE/>
              <w:autoSpaceDN/>
              <w:adjustRightInd/>
              <w:spacing w:line="240" w:lineRule="auto"/>
              <w:jc w:val="both"/>
              <w:rPr>
                <w:rFonts w:eastAsia="Calibri" w:cs="Times New Roman"/>
                <w:sz w:val="22"/>
                <w:szCs w:val="22"/>
                <w:lang w:eastAsia="en-US"/>
              </w:rPr>
            </w:pPr>
            <w:r w:rsidRPr="00FF0247">
              <w:rPr>
                <w:rFonts w:eastAsia="Calibri" w:cs="Times New Roman"/>
                <w:sz w:val="22"/>
                <w:szCs w:val="22"/>
                <w:lang w:eastAsia="en-US"/>
              </w:rPr>
              <w:t>przyj</w:t>
            </w:r>
            <w:r w:rsidRPr="004547D4">
              <w:rPr>
                <w:rFonts w:eastAsia="Calibri" w:cs="Times New Roman"/>
                <w:sz w:val="22"/>
                <w:szCs w:val="22"/>
                <w:lang w:eastAsia="en-US"/>
              </w:rPr>
              <w:t xml:space="preserve">mowanie </w:t>
            </w:r>
            <w:r>
              <w:rPr>
                <w:rFonts w:eastAsia="Calibri" w:cs="Times New Roman"/>
                <w:sz w:val="22"/>
                <w:szCs w:val="22"/>
                <w:lang w:eastAsia="en-US"/>
              </w:rPr>
              <w:t>zgłoszenia</w:t>
            </w:r>
            <w:r w:rsidRPr="004547D4">
              <w:rPr>
                <w:rFonts w:eastAsia="Calibri" w:cs="Times New Roman"/>
                <w:sz w:val="22"/>
                <w:szCs w:val="22"/>
                <w:lang w:eastAsia="en-US"/>
              </w:rPr>
              <w:t xml:space="preserve"> o zamiarze wykonania operacji z użyciem systemu </w:t>
            </w:r>
            <w:r>
              <w:rPr>
                <w:rFonts w:eastAsia="Calibri" w:cs="Times New Roman"/>
                <w:sz w:val="22"/>
                <w:szCs w:val="22"/>
                <w:lang w:eastAsia="en-US"/>
              </w:rPr>
              <w:t>BSP</w:t>
            </w:r>
            <w:r w:rsidRPr="004547D4">
              <w:rPr>
                <w:rFonts w:eastAsia="Calibri" w:cs="Times New Roman"/>
                <w:sz w:val="22"/>
                <w:szCs w:val="22"/>
                <w:lang w:eastAsia="en-US"/>
              </w:rPr>
              <w:t>,</w:t>
            </w:r>
          </w:p>
          <w:p w14:paraId="1FEF017C" w14:textId="5E8D71CD" w:rsidR="007532AB" w:rsidRPr="004547D4" w:rsidRDefault="007532AB" w:rsidP="007532AB">
            <w:pPr>
              <w:widowControl/>
              <w:numPr>
                <w:ilvl w:val="0"/>
                <w:numId w:val="22"/>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rozstrzyganie wniosków o wyznaczenie, przedłużenie okresu obowiązywania, ponowne wyznaczenie strefy geograficznej dla systemów </w:t>
            </w:r>
            <w:r>
              <w:rPr>
                <w:rFonts w:eastAsia="Calibri" w:cs="Times New Roman"/>
                <w:sz w:val="22"/>
                <w:szCs w:val="22"/>
                <w:lang w:eastAsia="en-US"/>
              </w:rPr>
              <w:t>BSP</w:t>
            </w:r>
            <w:r w:rsidRPr="004547D4">
              <w:rPr>
                <w:rFonts w:eastAsia="Calibri" w:cs="Times New Roman"/>
                <w:sz w:val="22"/>
                <w:szCs w:val="22"/>
                <w:lang w:eastAsia="en-US"/>
              </w:rPr>
              <w:t>,</w:t>
            </w:r>
          </w:p>
          <w:p w14:paraId="2F18A41A" w14:textId="2E25485A" w:rsidR="007532AB" w:rsidRPr="004547D4" w:rsidRDefault="007532AB" w:rsidP="007532AB">
            <w:pPr>
              <w:widowControl/>
              <w:numPr>
                <w:ilvl w:val="0"/>
                <w:numId w:val="22"/>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udostępnianie informacji na temat stref geograficznych</w:t>
            </w:r>
            <w:r>
              <w:rPr>
                <w:rFonts w:eastAsia="Calibri" w:cs="Times New Roman"/>
                <w:sz w:val="22"/>
                <w:szCs w:val="22"/>
                <w:lang w:eastAsia="en-US"/>
              </w:rPr>
              <w:t xml:space="preserve"> dla BSP</w:t>
            </w:r>
            <w:r w:rsidRPr="004547D4">
              <w:rPr>
                <w:rFonts w:eastAsia="Calibri" w:cs="Times New Roman"/>
                <w:sz w:val="22"/>
                <w:szCs w:val="22"/>
                <w:lang w:eastAsia="en-US"/>
              </w:rPr>
              <w:t>;</w:t>
            </w:r>
          </w:p>
          <w:p w14:paraId="5F5C39CF" w14:textId="0D31D833" w:rsidR="007532AB" w:rsidRPr="004547D4" w:rsidRDefault="007532AB" w:rsidP="007532AB">
            <w:pPr>
              <w:widowControl/>
              <w:numPr>
                <w:ilvl w:val="0"/>
                <w:numId w:val="20"/>
              </w:numPr>
              <w:autoSpaceDE/>
              <w:autoSpaceDN/>
              <w:adjustRightInd/>
              <w:spacing w:before="120" w:after="120" w:line="240" w:lineRule="auto"/>
              <w:ind w:left="357" w:hanging="357"/>
              <w:jc w:val="both"/>
              <w:rPr>
                <w:rFonts w:eastAsia="Calibri" w:cs="Times New Roman"/>
                <w:sz w:val="22"/>
                <w:szCs w:val="22"/>
                <w:lang w:eastAsia="en-US"/>
              </w:rPr>
            </w:pPr>
            <w:r w:rsidRPr="004547D4">
              <w:rPr>
                <w:rFonts w:eastAsia="Calibri" w:cs="Times New Roman"/>
                <w:sz w:val="22"/>
                <w:szCs w:val="22"/>
                <w:lang w:eastAsia="en-US"/>
              </w:rPr>
              <w:t xml:space="preserve">w zakresie wyznaczonego </w:t>
            </w:r>
            <w:r>
              <w:rPr>
                <w:rFonts w:eastAsia="Calibri" w:cs="Times New Roman"/>
                <w:sz w:val="22"/>
                <w:szCs w:val="22"/>
                <w:lang w:eastAsia="en-US"/>
              </w:rPr>
              <w:t>podmiotu</w:t>
            </w:r>
            <w:r w:rsidRPr="004547D4">
              <w:rPr>
                <w:rFonts w:eastAsia="Calibri" w:cs="Times New Roman"/>
                <w:sz w:val="22"/>
                <w:szCs w:val="22"/>
                <w:lang w:eastAsia="en-US"/>
              </w:rPr>
              <w:t>:</w:t>
            </w:r>
          </w:p>
          <w:p w14:paraId="70229529" w14:textId="69C3155A" w:rsidR="007532AB" w:rsidRPr="004547D4" w:rsidRDefault="007532AB" w:rsidP="007532AB">
            <w:pPr>
              <w:widowControl/>
              <w:numPr>
                <w:ilvl w:val="0"/>
                <w:numId w:val="23"/>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certyfikatu kompetencji pilota </w:t>
            </w:r>
            <w:r>
              <w:rPr>
                <w:rFonts w:eastAsia="Calibri" w:cs="Times New Roman"/>
                <w:sz w:val="22"/>
                <w:szCs w:val="22"/>
                <w:lang w:eastAsia="en-US"/>
              </w:rPr>
              <w:t>BSP oraz</w:t>
            </w:r>
            <w:r w:rsidRPr="004547D4">
              <w:rPr>
                <w:rFonts w:eastAsia="Calibri" w:cs="Times New Roman"/>
                <w:sz w:val="22"/>
                <w:szCs w:val="22"/>
                <w:lang w:eastAsia="en-US"/>
              </w:rPr>
              <w:t xml:space="preserve"> informowanie Prezesa ULC o wydanym certyfikacie,</w:t>
            </w:r>
          </w:p>
          <w:p w14:paraId="22DB8331" w14:textId="7C171DE5" w:rsidR="007532AB" w:rsidRDefault="007532AB" w:rsidP="007532AB">
            <w:pPr>
              <w:widowControl/>
              <w:numPr>
                <w:ilvl w:val="0"/>
                <w:numId w:val="23"/>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w:t>
            </w:r>
            <w:r>
              <w:rPr>
                <w:rFonts w:eastAsia="Calibri" w:cs="Times New Roman"/>
                <w:sz w:val="22"/>
                <w:szCs w:val="22"/>
                <w:lang w:eastAsia="en-US"/>
              </w:rPr>
              <w:t xml:space="preserve">i przedłużanie </w:t>
            </w:r>
            <w:r w:rsidRPr="004547D4">
              <w:rPr>
                <w:rFonts w:eastAsia="Calibri" w:cs="Times New Roman"/>
                <w:sz w:val="22"/>
                <w:szCs w:val="22"/>
                <w:lang w:eastAsia="en-US"/>
              </w:rPr>
              <w:t>certyfikat</w:t>
            </w:r>
            <w:r>
              <w:rPr>
                <w:rFonts w:eastAsia="Calibri" w:cs="Times New Roman"/>
                <w:sz w:val="22"/>
                <w:szCs w:val="22"/>
                <w:lang w:eastAsia="en-US"/>
              </w:rPr>
              <w:t>u</w:t>
            </w:r>
            <w:r w:rsidRPr="004547D4">
              <w:rPr>
                <w:rFonts w:eastAsia="Calibri" w:cs="Times New Roman"/>
                <w:sz w:val="22"/>
                <w:szCs w:val="22"/>
                <w:lang w:eastAsia="en-US"/>
              </w:rPr>
              <w:t xml:space="preserve"> wiedzy teoretycznej i potwierdzenia ukończenia szkolenia praktycznego</w:t>
            </w:r>
            <w:r>
              <w:rPr>
                <w:rFonts w:eastAsia="Calibri" w:cs="Times New Roman"/>
                <w:sz w:val="22"/>
                <w:szCs w:val="22"/>
                <w:lang w:eastAsia="en-US"/>
              </w:rPr>
              <w:t xml:space="preserve"> oraz</w:t>
            </w:r>
            <w:r w:rsidRPr="004547D4">
              <w:rPr>
                <w:rFonts w:eastAsia="Calibri" w:cs="Times New Roman"/>
                <w:sz w:val="22"/>
                <w:szCs w:val="22"/>
                <w:lang w:eastAsia="en-US"/>
              </w:rPr>
              <w:t xml:space="preserve"> informowanie Prezesa ULC o wydanym certyfikacie</w:t>
            </w:r>
            <w:r>
              <w:rPr>
                <w:rFonts w:eastAsia="Calibri" w:cs="Times New Roman"/>
                <w:sz w:val="22"/>
                <w:szCs w:val="22"/>
                <w:lang w:eastAsia="en-US"/>
              </w:rPr>
              <w:t>;</w:t>
            </w:r>
          </w:p>
          <w:p w14:paraId="79C1335D" w14:textId="1DE2D23B"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4) w zakresie uznanego podmiotu: wydawanie</w:t>
            </w:r>
            <w:r w:rsidRPr="00030380">
              <w:rPr>
                <w:rFonts w:eastAsia="Calibri" w:cs="Times New Roman"/>
                <w:sz w:val="22"/>
                <w:szCs w:val="22"/>
                <w:lang w:eastAsia="en-US"/>
              </w:rPr>
              <w:t xml:space="preserve"> potwierdzenie ukończenia szkolenia praktycznego i oceny umiejętności praktycznych pilota </w:t>
            </w:r>
            <w:r>
              <w:rPr>
                <w:rFonts w:eastAsia="Calibri" w:cs="Times New Roman"/>
                <w:sz w:val="22"/>
                <w:szCs w:val="22"/>
                <w:lang w:eastAsia="en-US"/>
              </w:rPr>
              <w:t>BSP</w:t>
            </w:r>
            <w:r w:rsidRPr="004547D4">
              <w:rPr>
                <w:rFonts w:eastAsia="Calibri" w:cs="Times New Roman"/>
                <w:sz w:val="22"/>
                <w:szCs w:val="22"/>
                <w:lang w:eastAsia="en-US"/>
              </w:rPr>
              <w:t>.</w:t>
            </w:r>
          </w:p>
          <w:p w14:paraId="383B82C9" w14:textId="408B09A3"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Ponadto Prezes ULC będzie obowiązany do ogłaszania w Dzienniku Urzędowym U</w:t>
            </w:r>
            <w:r>
              <w:rPr>
                <w:rFonts w:eastAsia="Calibri" w:cs="Times New Roman"/>
                <w:sz w:val="22"/>
                <w:szCs w:val="22"/>
                <w:lang w:eastAsia="en-US"/>
              </w:rPr>
              <w:t xml:space="preserve">rzędu </w:t>
            </w:r>
            <w:r w:rsidRPr="004547D4">
              <w:rPr>
                <w:rFonts w:eastAsia="Calibri" w:cs="Times New Roman"/>
                <w:sz w:val="22"/>
                <w:szCs w:val="22"/>
                <w:lang w:eastAsia="en-US"/>
              </w:rPr>
              <w:t>L</w:t>
            </w:r>
            <w:r>
              <w:rPr>
                <w:rFonts w:eastAsia="Calibri" w:cs="Times New Roman"/>
                <w:sz w:val="22"/>
                <w:szCs w:val="22"/>
                <w:lang w:eastAsia="en-US"/>
              </w:rPr>
              <w:t xml:space="preserve">otnictwa </w:t>
            </w:r>
            <w:r w:rsidRPr="004547D4">
              <w:rPr>
                <w:rFonts w:eastAsia="Calibri" w:cs="Times New Roman"/>
                <w:sz w:val="22"/>
                <w:szCs w:val="22"/>
                <w:lang w:eastAsia="en-US"/>
              </w:rPr>
              <w:t>C</w:t>
            </w:r>
            <w:r>
              <w:rPr>
                <w:rFonts w:eastAsia="Calibri" w:cs="Times New Roman"/>
                <w:sz w:val="22"/>
                <w:szCs w:val="22"/>
                <w:lang w:eastAsia="en-US"/>
              </w:rPr>
              <w:t>ywilnego</w:t>
            </w:r>
            <w:r w:rsidRPr="004547D4">
              <w:rPr>
                <w:rFonts w:eastAsia="Calibri" w:cs="Times New Roman"/>
                <w:sz w:val="22"/>
                <w:szCs w:val="22"/>
                <w:lang w:eastAsia="en-US"/>
              </w:rPr>
              <w:t>, w drodze ogłoszeń, krajowych scenariuszy standardowych w zakresie nieobjętym scenariuszem standardowym, o</w:t>
            </w:r>
            <w:r w:rsidR="00072270">
              <w:rPr>
                <w:rFonts w:eastAsia="Calibri" w:cs="Times New Roman"/>
                <w:sz w:val="22"/>
                <w:szCs w:val="22"/>
                <w:lang w:eastAsia="en-US"/>
              </w:rPr>
              <w:t> </w:t>
            </w:r>
            <w:r w:rsidRPr="004547D4">
              <w:rPr>
                <w:rFonts w:eastAsia="Calibri" w:cs="Times New Roman"/>
                <w:sz w:val="22"/>
                <w:szCs w:val="22"/>
                <w:lang w:eastAsia="en-US"/>
              </w:rPr>
              <w:t>którym mowa w rozporządzeniu wykonawczym, a także programu szkolenia do wykonywania operacji w</w:t>
            </w:r>
            <w:r w:rsidR="00072270">
              <w:rPr>
                <w:rFonts w:eastAsia="Calibri" w:cs="Times New Roman"/>
                <w:sz w:val="22"/>
                <w:szCs w:val="22"/>
                <w:lang w:eastAsia="en-US"/>
              </w:rPr>
              <w:t> </w:t>
            </w:r>
            <w:r w:rsidRPr="004547D4">
              <w:rPr>
                <w:rFonts w:eastAsia="Calibri" w:cs="Times New Roman"/>
                <w:sz w:val="22"/>
                <w:szCs w:val="22"/>
                <w:lang w:eastAsia="en-US"/>
              </w:rPr>
              <w:t>kategorii „szczególnej”.</w:t>
            </w:r>
          </w:p>
          <w:p w14:paraId="5E151928" w14:textId="053D70BE"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Dodatkowo w zakresie Prezesa ULC konieczne będzie przeprowadzanie czynności związanych ze sprawowaniem bieżącego nadzoru nad operatorami bezzałogowych systemów powietrznych, wyznaczonymi </w:t>
            </w:r>
            <w:r>
              <w:rPr>
                <w:rFonts w:eastAsia="Calibri" w:cs="Times New Roman"/>
                <w:sz w:val="22"/>
                <w:szCs w:val="22"/>
                <w:lang w:eastAsia="en-US"/>
              </w:rPr>
              <w:t>podmiotami</w:t>
            </w:r>
            <w:r w:rsidRPr="004547D4">
              <w:rPr>
                <w:rFonts w:eastAsia="Calibri" w:cs="Times New Roman"/>
                <w:sz w:val="22"/>
                <w:szCs w:val="22"/>
                <w:lang w:eastAsia="en-US"/>
              </w:rPr>
              <w:t xml:space="preserve"> i</w:t>
            </w:r>
            <w:r w:rsidR="00072270">
              <w:rPr>
                <w:rFonts w:eastAsia="Calibri" w:cs="Times New Roman"/>
                <w:sz w:val="22"/>
                <w:szCs w:val="22"/>
                <w:lang w:eastAsia="en-US"/>
              </w:rPr>
              <w:t> </w:t>
            </w:r>
            <w:r w:rsidRPr="004547D4">
              <w:rPr>
                <w:rFonts w:eastAsia="Calibri" w:cs="Times New Roman"/>
                <w:sz w:val="22"/>
                <w:szCs w:val="22"/>
                <w:lang w:eastAsia="en-US"/>
              </w:rPr>
              <w:t xml:space="preserve">uznanymi podmiotami, a także prowadzeniem kontroli przestrzegania przepisów przez podmioty objęte projektowaną regulacją oraz nakładania sankcji za nieprzestrzeganie tych przepisów. </w:t>
            </w:r>
          </w:p>
          <w:p w14:paraId="58D2071C" w14:textId="77777777"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Wprowadzane procedury są częściowo przygotowane do ich elektronizacji. Za pomocą systemu teleinformatycznego będą mogły być realizowane w szczególności następujące czynności:</w:t>
            </w:r>
          </w:p>
          <w:p w14:paraId="0C67A45A" w14:textId="58881540" w:rsidR="007532AB" w:rsidRPr="004547D4" w:rsidRDefault="007532AB" w:rsidP="007532AB">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informowanie o zamiarze wykonania operacji z użyciem systemu </w:t>
            </w:r>
            <w:r>
              <w:rPr>
                <w:rFonts w:eastAsia="Calibri" w:cs="Times New Roman"/>
                <w:sz w:val="22"/>
                <w:szCs w:val="22"/>
                <w:lang w:eastAsia="en-US"/>
              </w:rPr>
              <w:t>BSP;</w:t>
            </w:r>
          </w:p>
          <w:p w14:paraId="7F18C8BD" w14:textId="7C68CCD7" w:rsidR="007532AB" w:rsidRPr="004547D4" w:rsidRDefault="007532AB" w:rsidP="007532AB">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 którym mowa w art. 13 ust. 2 rozporządzenia wykonawcze</w:t>
            </w:r>
            <w:r>
              <w:rPr>
                <w:rFonts w:eastAsia="Calibri" w:cs="Times New Roman"/>
                <w:sz w:val="22"/>
                <w:szCs w:val="22"/>
                <w:lang w:eastAsia="en-US"/>
              </w:rPr>
              <w:t>go;</w:t>
            </w:r>
          </w:p>
          <w:p w14:paraId="74D9F5C4" w14:textId="344FDF3B" w:rsidR="007532AB" w:rsidRPr="004547D4" w:rsidRDefault="007532AB" w:rsidP="007532AB">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odbioru i kompletności oświadczenia, o którym mowa w art. 5 ust</w:t>
            </w:r>
            <w:r>
              <w:rPr>
                <w:rFonts w:eastAsia="Calibri" w:cs="Times New Roman"/>
                <w:sz w:val="22"/>
                <w:szCs w:val="22"/>
                <w:lang w:eastAsia="en-US"/>
              </w:rPr>
              <w:t>. 5 rozporządzenia wykonawczego;</w:t>
            </w:r>
          </w:p>
          <w:p w14:paraId="68B64AD3" w14:textId="73698923" w:rsidR="007532AB" w:rsidRPr="004547D4" w:rsidRDefault="007532AB" w:rsidP="007532AB">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w:t>
            </w:r>
            <w:r>
              <w:rPr>
                <w:rFonts w:eastAsia="Calibri" w:cs="Times New Roman"/>
                <w:sz w:val="22"/>
                <w:szCs w:val="22"/>
                <w:lang w:eastAsia="en-US"/>
              </w:rPr>
              <w:t>miana i cofanie certyfikatu LUC;</w:t>
            </w:r>
          </w:p>
          <w:p w14:paraId="34616CC6" w14:textId="79EFA57A" w:rsidR="007532AB" w:rsidRPr="004547D4" w:rsidRDefault="007532AB" w:rsidP="007532AB">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zawieszanie i cofanie potwierdzenia zaliczenia szkolenia i zdania egzaminu o</w:t>
            </w:r>
            <w:r>
              <w:rPr>
                <w:rFonts w:eastAsia="Calibri" w:cs="Times New Roman"/>
                <w:sz w:val="22"/>
                <w:szCs w:val="22"/>
                <w:lang w:eastAsia="en-US"/>
              </w:rPr>
              <w:t>nline;</w:t>
            </w:r>
          </w:p>
          <w:p w14:paraId="6B328D1F" w14:textId="63DA2E1F" w:rsidR="007532AB" w:rsidRPr="00262C86" w:rsidRDefault="007532AB" w:rsidP="007532AB">
            <w:pPr>
              <w:widowControl/>
              <w:numPr>
                <w:ilvl w:val="0"/>
                <w:numId w:val="24"/>
              </w:numPr>
              <w:autoSpaceDE/>
              <w:autoSpaceDN/>
              <w:adjustRightInd/>
              <w:spacing w:line="240" w:lineRule="auto"/>
              <w:jc w:val="both"/>
              <w:rPr>
                <w:rFonts w:eastAsia="Calibri" w:cs="Times New Roman"/>
                <w:sz w:val="22"/>
                <w:szCs w:val="22"/>
                <w:lang w:eastAsia="en-US"/>
              </w:rPr>
            </w:pPr>
            <w:r w:rsidRPr="00262C86">
              <w:rPr>
                <w:rFonts w:eastAsia="Calibri" w:cs="Times New Roman"/>
                <w:sz w:val="22"/>
                <w:szCs w:val="22"/>
                <w:lang w:eastAsia="en-US"/>
              </w:rPr>
              <w:t>wydawanie zezwolenia na operacje z użycie systemów BSP w ramach klubów lub stowarzyszeń modelarstwa lotniczego.</w:t>
            </w:r>
          </w:p>
          <w:p w14:paraId="43EA8DEF" w14:textId="70F32909" w:rsidR="007532AB" w:rsidRPr="004547D4" w:rsidRDefault="007532AB" w:rsidP="00072270">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W przypadku wykonywania operacji z użyciem systemu </w:t>
            </w:r>
            <w:r>
              <w:rPr>
                <w:rFonts w:eastAsia="Calibri" w:cs="Times New Roman"/>
                <w:sz w:val="22"/>
                <w:szCs w:val="22"/>
                <w:lang w:eastAsia="en-US"/>
              </w:rPr>
              <w:t>BSP</w:t>
            </w:r>
            <w:r w:rsidRPr="004547D4">
              <w:rPr>
                <w:rFonts w:eastAsia="Calibri" w:cs="Times New Roman"/>
                <w:sz w:val="22"/>
                <w:szCs w:val="22"/>
                <w:lang w:eastAsia="en-US"/>
              </w:rPr>
              <w:t xml:space="preserve"> w podkategorii A1 i A3 w kategorii „otwartej”, o</w:t>
            </w:r>
            <w:r w:rsidR="00072270">
              <w:rPr>
                <w:rFonts w:eastAsia="Calibri" w:cs="Times New Roman"/>
                <w:sz w:val="22"/>
                <w:szCs w:val="22"/>
                <w:lang w:eastAsia="en-US"/>
              </w:rPr>
              <w:t> </w:t>
            </w:r>
            <w:r w:rsidRPr="004547D4">
              <w:rPr>
                <w:rFonts w:eastAsia="Calibri" w:cs="Times New Roman"/>
                <w:sz w:val="22"/>
                <w:szCs w:val="22"/>
                <w:lang w:eastAsia="en-US"/>
              </w:rPr>
              <w:t>której mowa w art. 4 rozporządzenia wykonawczego, szkolenie i egzamin niezbędne do nabycia uprawnień do wykonywania tych operacji będą przeprowadzane online.</w:t>
            </w:r>
          </w:p>
        </w:tc>
      </w:tr>
      <w:tr w:rsidR="007532AB" w:rsidRPr="004547D4" w14:paraId="6B8CFB9F" w14:textId="77777777" w:rsidTr="0039465C">
        <w:trPr>
          <w:trHeight w:val="142"/>
        </w:trPr>
        <w:tc>
          <w:tcPr>
            <w:tcW w:w="10207" w:type="dxa"/>
            <w:gridSpan w:val="26"/>
            <w:shd w:val="clear" w:color="auto" w:fill="99CCFF"/>
          </w:tcPr>
          <w:p w14:paraId="62D39F23" w14:textId="77777777" w:rsidR="007532AB" w:rsidRPr="004547D4" w:rsidRDefault="007532AB" w:rsidP="007532AB">
            <w:pPr>
              <w:widowControl/>
              <w:numPr>
                <w:ilvl w:val="0"/>
                <w:numId w:val="1"/>
              </w:numPr>
              <w:autoSpaceDE/>
              <w:autoSpaceDN/>
              <w:adjustRightInd/>
              <w:spacing w:before="60" w:after="60" w:line="240" w:lineRule="auto"/>
              <w:jc w:val="both"/>
              <w:rPr>
                <w:rFonts w:eastAsia="Calibri" w:cs="Times New Roman"/>
                <w:b/>
                <w:sz w:val="22"/>
                <w:szCs w:val="22"/>
                <w:lang w:eastAsia="en-US"/>
              </w:rPr>
            </w:pPr>
            <w:r w:rsidRPr="004547D4">
              <w:rPr>
                <w:rFonts w:eastAsia="Calibri" w:cs="Times New Roman"/>
                <w:b/>
                <w:sz w:val="22"/>
                <w:szCs w:val="22"/>
                <w:lang w:eastAsia="en-US"/>
              </w:rPr>
              <w:t xml:space="preserve">Wpływ na rynek pracy </w:t>
            </w:r>
          </w:p>
        </w:tc>
      </w:tr>
      <w:tr w:rsidR="007532AB" w:rsidRPr="004547D4" w14:paraId="1D1A4BE7" w14:textId="77777777" w:rsidTr="0039465C">
        <w:trPr>
          <w:trHeight w:val="142"/>
        </w:trPr>
        <w:tc>
          <w:tcPr>
            <w:tcW w:w="10207" w:type="dxa"/>
            <w:gridSpan w:val="26"/>
            <w:shd w:val="clear" w:color="auto" w:fill="auto"/>
          </w:tcPr>
          <w:p w14:paraId="382FCEB8" w14:textId="6EF32196" w:rsidR="007532AB" w:rsidRPr="004547D4" w:rsidRDefault="007532AB" w:rsidP="007532AB">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Projektowana regulacja będzie miała pozytywny wpływ na rynek pracy. Rozwój zastosowań </w:t>
            </w:r>
            <w:r>
              <w:rPr>
                <w:rFonts w:eastAsia="Calibri" w:cs="Times New Roman"/>
                <w:sz w:val="22"/>
                <w:szCs w:val="22"/>
                <w:lang w:eastAsia="en-US"/>
              </w:rPr>
              <w:t>BSP</w:t>
            </w:r>
            <w:r w:rsidRPr="004547D4">
              <w:rPr>
                <w:rFonts w:eastAsia="Calibri" w:cs="Times New Roman"/>
                <w:sz w:val="22"/>
                <w:szCs w:val="22"/>
                <w:lang w:eastAsia="en-US"/>
              </w:rPr>
              <w:t xml:space="preserve"> otwiera zapotrzebowanie na nowe specjalizacje w administracji publicznej i w biznesie. </w:t>
            </w:r>
          </w:p>
        </w:tc>
      </w:tr>
      <w:tr w:rsidR="007532AB" w:rsidRPr="004547D4" w14:paraId="3A13FBD4" w14:textId="77777777" w:rsidTr="0039465C">
        <w:trPr>
          <w:trHeight w:val="142"/>
        </w:trPr>
        <w:tc>
          <w:tcPr>
            <w:tcW w:w="10207" w:type="dxa"/>
            <w:gridSpan w:val="26"/>
            <w:shd w:val="clear" w:color="auto" w:fill="99CCFF"/>
          </w:tcPr>
          <w:p w14:paraId="14DE9558" w14:textId="77777777" w:rsidR="007532AB" w:rsidRPr="004547D4" w:rsidRDefault="007532AB" w:rsidP="007532AB">
            <w:pPr>
              <w:widowControl/>
              <w:numPr>
                <w:ilvl w:val="0"/>
                <w:numId w:val="1"/>
              </w:numPr>
              <w:autoSpaceDE/>
              <w:autoSpaceDN/>
              <w:adjustRightInd/>
              <w:spacing w:before="60" w:after="60" w:line="240" w:lineRule="auto"/>
              <w:jc w:val="both"/>
              <w:rPr>
                <w:rFonts w:eastAsia="Calibri" w:cs="Times New Roman"/>
                <w:b/>
                <w:sz w:val="22"/>
                <w:szCs w:val="22"/>
                <w:lang w:eastAsia="en-US"/>
              </w:rPr>
            </w:pPr>
            <w:r w:rsidRPr="004547D4">
              <w:rPr>
                <w:rFonts w:eastAsia="Calibri" w:cs="Times New Roman"/>
                <w:b/>
                <w:sz w:val="22"/>
                <w:szCs w:val="22"/>
                <w:lang w:eastAsia="en-US"/>
              </w:rPr>
              <w:t>Wpływ na pozostałe obszary</w:t>
            </w:r>
          </w:p>
        </w:tc>
      </w:tr>
      <w:tr w:rsidR="007532AB" w:rsidRPr="004547D4" w14:paraId="6F74D68B" w14:textId="77777777" w:rsidTr="0039465C">
        <w:trPr>
          <w:trHeight w:val="1031"/>
        </w:trPr>
        <w:tc>
          <w:tcPr>
            <w:tcW w:w="3432" w:type="dxa"/>
            <w:gridSpan w:val="5"/>
            <w:shd w:val="clear" w:color="auto" w:fill="FFFFFF" w:themeFill="background1"/>
          </w:tcPr>
          <w:p w14:paraId="2BB0C9F6"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p w14:paraId="3840A2F5"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środowisko naturalne</w:t>
            </w:r>
          </w:p>
          <w:p w14:paraId="22B85A83"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sytuacja i rozwój regionalny</w:t>
            </w:r>
          </w:p>
          <w:p w14:paraId="15750E56" w14:textId="518FA2BE"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Pr>
                <w:rFonts w:eastAsia="Calibri" w:cs="Times New Roman"/>
                <w:sz w:val="22"/>
                <w:szCs w:val="22"/>
                <w:lang w:eastAsia="en-US"/>
              </w:rPr>
              <w:fldChar w:fldCharType="begin">
                <w:ffData>
                  <w:name w:val=""/>
                  <w:enabled/>
                  <w:calcOnExit w:val="0"/>
                  <w:checkBox>
                    <w:sizeAuto/>
                    <w:default w:val="1"/>
                  </w:checkBox>
                </w:ffData>
              </w:fldChar>
            </w:r>
            <w:r>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Pr>
                <w:rFonts w:eastAsia="Calibri" w:cs="Times New Roman"/>
                <w:sz w:val="22"/>
                <w:szCs w:val="22"/>
                <w:lang w:eastAsia="en-US"/>
              </w:rPr>
              <w:fldChar w:fldCharType="end"/>
            </w:r>
            <w:r w:rsidRPr="00223375">
              <w:rPr>
                <w:rFonts w:eastAsia="Calibri" w:cs="Times New Roman"/>
                <w:sz w:val="22"/>
                <w:szCs w:val="22"/>
                <w:lang w:eastAsia="en-US"/>
              </w:rPr>
              <w:t xml:space="preserve"> sądy powszechne, administracyjne lub wojskowe</w:t>
            </w:r>
          </w:p>
        </w:tc>
        <w:tc>
          <w:tcPr>
            <w:tcW w:w="3802" w:type="dxa"/>
            <w:gridSpan w:val="12"/>
            <w:shd w:val="clear" w:color="auto" w:fill="FFFFFF" w:themeFill="background1"/>
          </w:tcPr>
          <w:p w14:paraId="46B3BC4E"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p w14:paraId="784BC59D"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demografia</w:t>
            </w:r>
          </w:p>
          <w:p w14:paraId="752D47B1" w14:textId="77777777" w:rsidR="007532AB"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mienie państwowe</w:t>
            </w:r>
          </w:p>
          <w:p w14:paraId="0DE90A9B" w14:textId="3369995D"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 xml:space="preserve">inne: </w:t>
            </w:r>
            <w:r w:rsidRPr="004547D4">
              <w:rPr>
                <w:rFonts w:eastAsia="Calibri" w:cs="Times New Roman"/>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547D4">
              <w:rPr>
                <w:rFonts w:eastAsia="Calibri" w:cs="Times New Roman"/>
                <w:sz w:val="22"/>
                <w:szCs w:val="22"/>
                <w:lang w:eastAsia="en-US"/>
              </w:rPr>
              <w:instrText xml:space="preserve"> FORMTEXT </w:instrText>
            </w:r>
            <w:r w:rsidRPr="004547D4">
              <w:rPr>
                <w:rFonts w:eastAsia="Calibri" w:cs="Times New Roman"/>
                <w:sz w:val="22"/>
                <w:szCs w:val="22"/>
                <w:lang w:eastAsia="en-US"/>
              </w:rPr>
            </w:r>
            <w:r w:rsidRPr="004547D4">
              <w:rPr>
                <w:rFonts w:eastAsia="Calibri" w:cs="Times New Roman"/>
                <w:sz w:val="22"/>
                <w:szCs w:val="22"/>
                <w:lang w:eastAsia="en-US"/>
              </w:rPr>
              <w:fldChar w:fldCharType="separate"/>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sz w:val="22"/>
                <w:szCs w:val="22"/>
                <w:lang w:eastAsia="en-US"/>
              </w:rPr>
              <w:fldChar w:fldCharType="end"/>
            </w:r>
          </w:p>
        </w:tc>
        <w:tc>
          <w:tcPr>
            <w:tcW w:w="2973" w:type="dxa"/>
            <w:gridSpan w:val="9"/>
            <w:shd w:val="clear" w:color="auto" w:fill="FFFFFF" w:themeFill="background1"/>
          </w:tcPr>
          <w:p w14:paraId="40488572"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p w14:paraId="3934358A" w14:textId="77777777" w:rsidR="007532AB" w:rsidRPr="004547D4" w:rsidRDefault="007532AB" w:rsidP="007532AB">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pacing w:val="-2"/>
                <w:sz w:val="22"/>
                <w:szCs w:val="22"/>
                <w:lang w:eastAsia="en-US"/>
              </w:rPr>
              <w:t>informatyzacja</w:t>
            </w:r>
          </w:p>
          <w:p w14:paraId="22F6C1C8"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885C7D">
              <w:rPr>
                <w:rFonts w:eastAsia="Calibri" w:cs="Times New Roman"/>
                <w:sz w:val="22"/>
                <w:szCs w:val="22"/>
                <w:lang w:eastAsia="en-US"/>
              </w:rPr>
            </w:r>
            <w:r w:rsidR="00885C7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zdrowie</w:t>
            </w:r>
          </w:p>
        </w:tc>
      </w:tr>
      <w:tr w:rsidR="007532AB" w:rsidRPr="004547D4" w14:paraId="385EA3D4" w14:textId="77777777" w:rsidTr="0039465C">
        <w:trPr>
          <w:trHeight w:val="577"/>
        </w:trPr>
        <w:tc>
          <w:tcPr>
            <w:tcW w:w="2243" w:type="dxa"/>
            <w:gridSpan w:val="2"/>
            <w:shd w:val="clear" w:color="auto" w:fill="FFFFFF" w:themeFill="background1"/>
            <w:vAlign w:val="center"/>
          </w:tcPr>
          <w:p w14:paraId="705777DF"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p>
          <w:p w14:paraId="669E9D12" w14:textId="77777777" w:rsidR="007532AB" w:rsidRPr="004547D4" w:rsidRDefault="007532AB" w:rsidP="007532AB">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Omówienie wpływu</w:t>
            </w:r>
          </w:p>
        </w:tc>
        <w:tc>
          <w:tcPr>
            <w:tcW w:w="7964" w:type="dxa"/>
            <w:gridSpan w:val="24"/>
            <w:shd w:val="clear" w:color="auto" w:fill="FFFFFF" w:themeFill="background1"/>
            <w:vAlign w:val="center"/>
          </w:tcPr>
          <w:p w14:paraId="6DFCAD81" w14:textId="4CA30297" w:rsidR="007532AB" w:rsidRPr="004547D4" w:rsidRDefault="007532AB" w:rsidP="007532AB">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 xml:space="preserve">Nowe przepisy UE wprowadzają normy hałasowe dla </w:t>
            </w:r>
            <w:r>
              <w:rPr>
                <w:rFonts w:eastAsia="Calibri" w:cs="Times New Roman"/>
                <w:spacing w:val="-2"/>
                <w:sz w:val="22"/>
                <w:szCs w:val="22"/>
                <w:lang w:eastAsia="en-US"/>
              </w:rPr>
              <w:t>BSP.</w:t>
            </w:r>
          </w:p>
          <w:p w14:paraId="4CDAC6F3" w14:textId="46A80CB2" w:rsidR="007532AB" w:rsidRDefault="007532AB" w:rsidP="007532AB">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Skutkiem wprowadzenia nowych przepisów będzie elektronizacja dużej części procesów administracyjnych, powstaną lub zostaną rozwinięte zaawan</w:t>
            </w:r>
            <w:r>
              <w:rPr>
                <w:rFonts w:eastAsia="Calibri" w:cs="Times New Roman"/>
                <w:spacing w:val="-2"/>
                <w:sz w:val="22"/>
                <w:szCs w:val="22"/>
                <w:lang w:eastAsia="en-US"/>
              </w:rPr>
              <w:t>sowane systemy teleinformatyczne</w:t>
            </w:r>
            <w:r w:rsidRPr="004547D4">
              <w:rPr>
                <w:rFonts w:eastAsia="Calibri" w:cs="Times New Roman"/>
                <w:spacing w:val="-2"/>
                <w:sz w:val="22"/>
                <w:szCs w:val="22"/>
                <w:lang w:eastAsia="en-US"/>
              </w:rPr>
              <w:t xml:space="preserve"> do zarządzania ruchem </w:t>
            </w:r>
            <w:r>
              <w:rPr>
                <w:rFonts w:eastAsia="Calibri" w:cs="Times New Roman"/>
                <w:spacing w:val="-2"/>
                <w:sz w:val="22"/>
                <w:szCs w:val="22"/>
                <w:lang w:eastAsia="en-US"/>
              </w:rPr>
              <w:t>BSP</w:t>
            </w:r>
            <w:r w:rsidRPr="004547D4">
              <w:rPr>
                <w:rFonts w:eastAsia="Calibri" w:cs="Times New Roman"/>
                <w:spacing w:val="-2"/>
                <w:sz w:val="22"/>
                <w:szCs w:val="22"/>
                <w:lang w:eastAsia="en-US"/>
              </w:rPr>
              <w:t xml:space="preserve"> oraz obsługi spraw związanych z</w:t>
            </w:r>
            <w:r w:rsidR="00072270">
              <w:rPr>
                <w:rFonts w:eastAsia="Calibri" w:cs="Times New Roman"/>
                <w:spacing w:val="-2"/>
                <w:sz w:val="22"/>
                <w:szCs w:val="22"/>
                <w:lang w:eastAsia="en-US"/>
              </w:rPr>
              <w:t> </w:t>
            </w:r>
            <w:r w:rsidRPr="004547D4">
              <w:rPr>
                <w:rFonts w:eastAsia="Calibri" w:cs="Times New Roman"/>
                <w:spacing w:val="-2"/>
                <w:sz w:val="22"/>
                <w:szCs w:val="22"/>
                <w:lang w:eastAsia="en-US"/>
              </w:rPr>
              <w:t xml:space="preserve">operacjami przy użyciu </w:t>
            </w:r>
            <w:r>
              <w:rPr>
                <w:rFonts w:eastAsia="Calibri" w:cs="Times New Roman"/>
                <w:spacing w:val="-2"/>
                <w:sz w:val="22"/>
                <w:szCs w:val="22"/>
                <w:lang w:eastAsia="en-US"/>
              </w:rPr>
              <w:t>systemów BSP.</w:t>
            </w:r>
            <w:r w:rsidRPr="004547D4">
              <w:rPr>
                <w:rFonts w:eastAsia="Calibri" w:cs="Times New Roman"/>
                <w:spacing w:val="-2"/>
                <w:sz w:val="22"/>
                <w:szCs w:val="22"/>
                <w:lang w:eastAsia="en-US"/>
              </w:rPr>
              <w:t xml:space="preserve"> </w:t>
            </w:r>
            <w:r>
              <w:rPr>
                <w:rFonts w:eastAsia="Calibri" w:cs="Times New Roman"/>
                <w:spacing w:val="-2"/>
                <w:sz w:val="22"/>
                <w:szCs w:val="22"/>
                <w:lang w:eastAsia="en-US"/>
              </w:rPr>
              <w:t>T</w:t>
            </w:r>
            <w:r w:rsidRPr="004547D4">
              <w:rPr>
                <w:rFonts w:eastAsia="Calibri" w:cs="Times New Roman"/>
                <w:spacing w:val="-2"/>
                <w:sz w:val="22"/>
                <w:szCs w:val="22"/>
                <w:lang w:eastAsia="en-US"/>
              </w:rPr>
              <w:t xml:space="preserve">zw. doliny dronowe (zagłębia lotnicze i </w:t>
            </w:r>
            <w:r>
              <w:rPr>
                <w:rFonts w:eastAsia="Calibri" w:cs="Times New Roman"/>
                <w:spacing w:val="-2"/>
                <w:sz w:val="22"/>
                <w:szCs w:val="22"/>
                <w:lang w:eastAsia="en-US"/>
              </w:rPr>
              <w:t>BSP</w:t>
            </w:r>
            <w:r w:rsidRPr="004547D4">
              <w:rPr>
                <w:rFonts w:eastAsia="Calibri" w:cs="Times New Roman"/>
                <w:spacing w:val="-2"/>
                <w:sz w:val="22"/>
                <w:szCs w:val="22"/>
                <w:lang w:eastAsia="en-US"/>
              </w:rPr>
              <w:t>) wykażą swój potencjał, mając łatwiejszy dostęp do rynku UE dzięki jednolitym przepisom.</w:t>
            </w:r>
          </w:p>
          <w:p w14:paraId="11991245" w14:textId="63A764EC" w:rsidR="007532AB" w:rsidRPr="004547D4" w:rsidRDefault="007532AB" w:rsidP="00072270">
            <w:pPr>
              <w:widowControl/>
              <w:autoSpaceDE/>
              <w:autoSpaceDN/>
              <w:adjustRightInd/>
              <w:spacing w:line="240" w:lineRule="auto"/>
              <w:jc w:val="both"/>
              <w:rPr>
                <w:rFonts w:eastAsia="Calibri" w:cs="Times New Roman"/>
                <w:spacing w:val="-2"/>
                <w:sz w:val="22"/>
                <w:szCs w:val="22"/>
                <w:lang w:eastAsia="en-US"/>
              </w:rPr>
            </w:pPr>
            <w:r>
              <w:rPr>
                <w:rFonts w:eastAsia="Calibri" w:cs="Times New Roman"/>
                <w:spacing w:val="-2"/>
                <w:sz w:val="22"/>
                <w:szCs w:val="22"/>
                <w:lang w:eastAsia="en-US"/>
              </w:rPr>
              <w:t>Projektowana regulacja spowoduje nieznaczne z</w:t>
            </w:r>
            <w:r w:rsidRPr="009A14C1">
              <w:rPr>
                <w:rFonts w:eastAsia="Calibri" w:cs="Times New Roman"/>
                <w:spacing w:val="-2"/>
                <w:sz w:val="22"/>
                <w:szCs w:val="22"/>
                <w:lang w:eastAsia="en-US"/>
              </w:rPr>
              <w:t>większenie liczby spraw trafiających do sądów w związku z wprowadzeniem nowych typów wykroczeń, tj. wykonanie lotu z</w:t>
            </w:r>
            <w:r w:rsidR="00072270">
              <w:rPr>
                <w:rFonts w:eastAsia="Calibri" w:cs="Times New Roman"/>
                <w:spacing w:val="-2"/>
                <w:sz w:val="22"/>
                <w:szCs w:val="22"/>
                <w:lang w:eastAsia="en-US"/>
              </w:rPr>
              <w:t> </w:t>
            </w:r>
            <w:r w:rsidRPr="009A14C1">
              <w:rPr>
                <w:rFonts w:eastAsia="Calibri" w:cs="Times New Roman"/>
                <w:spacing w:val="-2"/>
                <w:sz w:val="22"/>
                <w:szCs w:val="22"/>
                <w:lang w:eastAsia="en-US"/>
              </w:rPr>
              <w:t>użyciem systemu bezzałogowego statku powietrznego niezgodnie z zasadami i</w:t>
            </w:r>
            <w:r w:rsidR="00072270">
              <w:rPr>
                <w:rFonts w:eastAsia="Calibri" w:cs="Times New Roman"/>
                <w:spacing w:val="-2"/>
                <w:sz w:val="22"/>
                <w:szCs w:val="22"/>
                <w:lang w:eastAsia="en-US"/>
              </w:rPr>
              <w:t> </w:t>
            </w:r>
            <w:r w:rsidRPr="009A14C1">
              <w:rPr>
                <w:rFonts w:eastAsia="Calibri" w:cs="Times New Roman"/>
                <w:spacing w:val="-2"/>
                <w:sz w:val="22"/>
                <w:szCs w:val="22"/>
                <w:lang w:eastAsia="en-US"/>
              </w:rPr>
              <w:t>warunkami operacyjnymi wykonywania takich lotów oraz nieprzestrzeganie przepisów dotyczących rejestru operatorów oraz rejestru statków wbrew art. 14 rozporządzenia nr 2019/947/UE, będąc operatorem systemu bezzałogowego statku powietrznego.</w:t>
            </w:r>
          </w:p>
        </w:tc>
      </w:tr>
      <w:tr w:rsidR="007532AB" w:rsidRPr="004547D4" w14:paraId="56932EB4" w14:textId="77777777" w:rsidTr="0039465C">
        <w:trPr>
          <w:trHeight w:val="142"/>
        </w:trPr>
        <w:tc>
          <w:tcPr>
            <w:tcW w:w="10207" w:type="dxa"/>
            <w:gridSpan w:val="26"/>
            <w:shd w:val="clear" w:color="auto" w:fill="99CCFF"/>
          </w:tcPr>
          <w:p w14:paraId="21BFCFCA" w14:textId="77777777" w:rsidR="007532AB" w:rsidRPr="004547D4" w:rsidRDefault="007532AB" w:rsidP="007532AB">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pacing w:val="-2"/>
                <w:sz w:val="22"/>
                <w:szCs w:val="22"/>
                <w:lang w:eastAsia="en-US"/>
              </w:rPr>
              <w:t>Planowane wykonanie przepisów aktu prawnego</w:t>
            </w:r>
          </w:p>
        </w:tc>
      </w:tr>
      <w:tr w:rsidR="007532AB" w:rsidRPr="004547D4" w14:paraId="5A5B2074" w14:textId="77777777" w:rsidTr="0039465C">
        <w:trPr>
          <w:trHeight w:val="142"/>
        </w:trPr>
        <w:tc>
          <w:tcPr>
            <w:tcW w:w="10207" w:type="dxa"/>
            <w:gridSpan w:val="26"/>
            <w:shd w:val="clear" w:color="auto" w:fill="FFFFFF" w:themeFill="background1"/>
          </w:tcPr>
          <w:p w14:paraId="6773A3AD" w14:textId="005C65DE" w:rsidR="007532AB" w:rsidRPr="004547D4"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 xml:space="preserve">Wykonanie przepisów ustawy nastąpi z </w:t>
            </w:r>
            <w:r w:rsidRPr="004547D4">
              <w:rPr>
                <w:rFonts w:eastAsia="Calibri" w:cs="Times New Roman"/>
                <w:spacing w:val="-2"/>
                <w:sz w:val="22"/>
                <w:szCs w:val="22"/>
                <w:lang w:eastAsia="en-US"/>
              </w:rPr>
              <w:t>dniem wejścia w życie</w:t>
            </w:r>
            <w:r>
              <w:rPr>
                <w:rFonts w:eastAsia="Calibri" w:cs="Times New Roman"/>
                <w:spacing w:val="-2"/>
                <w:sz w:val="22"/>
                <w:szCs w:val="22"/>
                <w:lang w:eastAsia="en-US"/>
              </w:rPr>
              <w:t xml:space="preserve"> projektowanych regulacji</w:t>
            </w:r>
            <w:r w:rsidRPr="004547D4">
              <w:rPr>
                <w:rFonts w:eastAsia="Calibri" w:cs="Times New Roman"/>
                <w:spacing w:val="-2"/>
                <w:sz w:val="22"/>
                <w:szCs w:val="22"/>
                <w:lang w:eastAsia="en-US"/>
              </w:rPr>
              <w:t>.</w:t>
            </w:r>
          </w:p>
        </w:tc>
      </w:tr>
      <w:tr w:rsidR="007532AB" w:rsidRPr="004547D4" w14:paraId="0A809955" w14:textId="77777777" w:rsidTr="0039465C">
        <w:trPr>
          <w:trHeight w:val="142"/>
        </w:trPr>
        <w:tc>
          <w:tcPr>
            <w:tcW w:w="10207" w:type="dxa"/>
            <w:gridSpan w:val="26"/>
            <w:shd w:val="clear" w:color="auto" w:fill="99CCFF"/>
          </w:tcPr>
          <w:p w14:paraId="74F8DE99" w14:textId="77777777" w:rsidR="007532AB" w:rsidRPr="004547D4" w:rsidRDefault="007532AB" w:rsidP="007532AB">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 xml:space="preserve"> </w:t>
            </w:r>
            <w:r w:rsidRPr="004547D4">
              <w:rPr>
                <w:rFonts w:eastAsia="Calibri" w:cs="Times New Roman"/>
                <w:b/>
                <w:spacing w:val="-2"/>
                <w:sz w:val="22"/>
                <w:szCs w:val="22"/>
                <w:lang w:eastAsia="en-US"/>
              </w:rPr>
              <w:t>W jaki sposób i kiedy nastąpi ewaluacja efektów projektu oraz jakie mierniki zostaną zastosowane?</w:t>
            </w:r>
          </w:p>
        </w:tc>
      </w:tr>
      <w:tr w:rsidR="007532AB" w:rsidRPr="004547D4" w14:paraId="12387679" w14:textId="77777777" w:rsidTr="0039465C">
        <w:trPr>
          <w:trHeight w:val="142"/>
        </w:trPr>
        <w:tc>
          <w:tcPr>
            <w:tcW w:w="10207" w:type="dxa"/>
            <w:gridSpan w:val="26"/>
            <w:shd w:val="clear" w:color="auto" w:fill="FFFFFF" w:themeFill="background1"/>
          </w:tcPr>
          <w:p w14:paraId="02870E33" w14:textId="13E68472" w:rsidR="007532AB" w:rsidRPr="004547D4"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Nie przewiduje się ewaluowania efektów projektu ustawy czy zastosowania mierników w tym celu.</w:t>
            </w:r>
          </w:p>
        </w:tc>
      </w:tr>
      <w:tr w:rsidR="007532AB" w:rsidRPr="004547D4" w14:paraId="122D7D4F" w14:textId="77777777" w:rsidTr="0039465C">
        <w:trPr>
          <w:trHeight w:val="142"/>
        </w:trPr>
        <w:tc>
          <w:tcPr>
            <w:tcW w:w="10207" w:type="dxa"/>
            <w:gridSpan w:val="26"/>
            <w:shd w:val="clear" w:color="auto" w:fill="99CCFF"/>
          </w:tcPr>
          <w:p w14:paraId="1B25BF6D" w14:textId="77777777" w:rsidR="007532AB" w:rsidRPr="004547D4" w:rsidRDefault="007532AB" w:rsidP="007532AB">
            <w:pPr>
              <w:widowControl/>
              <w:numPr>
                <w:ilvl w:val="0"/>
                <w:numId w:val="1"/>
              </w:numPr>
              <w:autoSpaceDE/>
              <w:autoSpaceDN/>
              <w:adjustRightInd/>
              <w:spacing w:before="60" w:after="60" w:line="240" w:lineRule="auto"/>
              <w:ind w:left="318" w:hanging="284"/>
              <w:jc w:val="both"/>
              <w:rPr>
                <w:rFonts w:eastAsia="Calibri" w:cs="Times New Roman"/>
                <w:b/>
                <w:spacing w:val="-2"/>
                <w:sz w:val="22"/>
                <w:szCs w:val="22"/>
                <w:lang w:eastAsia="en-US"/>
              </w:rPr>
            </w:pPr>
            <w:r w:rsidRPr="004547D4">
              <w:rPr>
                <w:rFonts w:eastAsia="Calibri" w:cs="Times New Roman"/>
                <w:b/>
                <w:spacing w:val="-2"/>
                <w:sz w:val="22"/>
                <w:szCs w:val="22"/>
                <w:lang w:eastAsia="en-US"/>
              </w:rPr>
              <w:t xml:space="preserve">Załączniki (istotne dokumenty źródłowe, badania, analizy itp.) </w:t>
            </w:r>
          </w:p>
        </w:tc>
      </w:tr>
      <w:tr w:rsidR="007532AB" w:rsidRPr="004547D4" w14:paraId="38B891A5" w14:textId="77777777" w:rsidTr="0039465C">
        <w:trPr>
          <w:trHeight w:val="142"/>
        </w:trPr>
        <w:tc>
          <w:tcPr>
            <w:tcW w:w="10207" w:type="dxa"/>
            <w:gridSpan w:val="26"/>
            <w:shd w:val="clear" w:color="auto" w:fill="FFFFFF" w:themeFill="background1"/>
          </w:tcPr>
          <w:p w14:paraId="1BA75F8C" w14:textId="05532CBE" w:rsidR="007532AB"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Załączniki</w:t>
            </w:r>
            <w:r w:rsidRPr="004547D4">
              <w:rPr>
                <w:rFonts w:eastAsia="Calibri" w:cs="Times New Roman"/>
                <w:spacing w:val="-2"/>
                <w:sz w:val="22"/>
                <w:szCs w:val="22"/>
                <w:lang w:eastAsia="en-US"/>
              </w:rPr>
              <w:t>:</w:t>
            </w:r>
          </w:p>
          <w:p w14:paraId="1D1B9237" w14:textId="2BB58D63" w:rsidR="007532AB"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1. Szczegółowa kalkulacja kosztów utrzymania</w:t>
            </w:r>
            <w:r w:rsidRPr="00BB78B1">
              <w:rPr>
                <w:rFonts w:eastAsia="Calibri" w:cs="Times New Roman"/>
                <w:spacing w:val="-2"/>
                <w:sz w:val="22"/>
                <w:szCs w:val="22"/>
                <w:lang w:eastAsia="en-US"/>
              </w:rPr>
              <w:t xml:space="preserve"> efektów realizacji projektu „Usługi cyfrowe dla bezzałogowych statków powietrznych” w okresie 5 lat od zakończenia realizacji projektu</w:t>
            </w:r>
            <w:r>
              <w:rPr>
                <w:rFonts w:eastAsia="Calibri" w:cs="Times New Roman"/>
                <w:spacing w:val="-2"/>
                <w:sz w:val="22"/>
                <w:szCs w:val="22"/>
                <w:lang w:eastAsia="en-US"/>
              </w:rPr>
              <w:t>.</w:t>
            </w:r>
          </w:p>
          <w:p w14:paraId="12B33035" w14:textId="1A4C317A" w:rsidR="007532AB"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 xml:space="preserve">2. </w:t>
            </w:r>
            <w:r w:rsidRPr="004547D4">
              <w:rPr>
                <w:rFonts w:eastAsia="Calibri" w:cs="Times New Roman"/>
                <w:spacing w:val="-2"/>
                <w:sz w:val="22"/>
                <w:szCs w:val="22"/>
                <w:lang w:eastAsia="en-US"/>
              </w:rPr>
              <w:t xml:space="preserve">Wykaz nowych zadań Prezesa </w:t>
            </w:r>
            <w:r>
              <w:rPr>
                <w:rFonts w:eastAsia="Calibri" w:cs="Times New Roman"/>
                <w:spacing w:val="-2"/>
                <w:sz w:val="22"/>
                <w:szCs w:val="22"/>
                <w:lang w:eastAsia="en-US"/>
              </w:rPr>
              <w:t>ULC</w:t>
            </w:r>
            <w:r w:rsidRPr="004547D4">
              <w:rPr>
                <w:rFonts w:eastAsia="Calibri" w:cs="Times New Roman"/>
                <w:spacing w:val="-2"/>
                <w:sz w:val="22"/>
                <w:szCs w:val="22"/>
                <w:lang w:eastAsia="en-US"/>
              </w:rPr>
              <w:t xml:space="preserve"> oraz </w:t>
            </w:r>
            <w:r>
              <w:rPr>
                <w:rFonts w:eastAsia="Calibri" w:cs="Times New Roman"/>
                <w:spacing w:val="-2"/>
                <w:sz w:val="22"/>
                <w:szCs w:val="22"/>
                <w:lang w:eastAsia="en-US"/>
              </w:rPr>
              <w:t>PAŻP</w:t>
            </w:r>
            <w:r w:rsidRPr="004547D4">
              <w:rPr>
                <w:rFonts w:eastAsia="Calibri" w:cs="Times New Roman"/>
                <w:spacing w:val="-2"/>
                <w:sz w:val="22"/>
                <w:szCs w:val="22"/>
                <w:lang w:eastAsia="en-US"/>
              </w:rPr>
              <w:t xml:space="preserve"> w związku z obowiązkami określonymi w rozporządzeniu delegowanym i rozporządzeniu wykonawczym.</w:t>
            </w:r>
          </w:p>
          <w:p w14:paraId="30DA95D5" w14:textId="77777777" w:rsidR="007532AB"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 xml:space="preserve">3. </w:t>
            </w:r>
            <w:r w:rsidRPr="00365750">
              <w:rPr>
                <w:rFonts w:eastAsia="Calibri" w:cs="Times New Roman"/>
                <w:spacing w:val="-2"/>
                <w:sz w:val="22"/>
                <w:szCs w:val="22"/>
                <w:lang w:eastAsia="en-US"/>
              </w:rPr>
              <w:t>Prognoza przychodów PAŻP z tytułu opłat za wyznaczanie stref geograficznych dla BSP</w:t>
            </w:r>
            <w:r>
              <w:rPr>
                <w:rFonts w:eastAsia="Calibri" w:cs="Times New Roman"/>
                <w:spacing w:val="-2"/>
                <w:sz w:val="22"/>
                <w:szCs w:val="22"/>
                <w:lang w:eastAsia="en-US"/>
              </w:rPr>
              <w:t>.</w:t>
            </w:r>
          </w:p>
          <w:p w14:paraId="762D08D4" w14:textId="7C60FDB7" w:rsidR="007532AB" w:rsidRPr="004547D4" w:rsidRDefault="007532AB" w:rsidP="007532AB">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4. Ocena ryzyka naruszenia ochrony danych osobowych dot. rejestru operatorów systemów bezzałogowych statków powietrznych.</w:t>
            </w:r>
          </w:p>
        </w:tc>
      </w:tr>
    </w:tbl>
    <w:p w14:paraId="1BB83EAF" w14:textId="77777777" w:rsidR="000261AE" w:rsidRPr="004547D4" w:rsidRDefault="000261AE">
      <w:pPr>
        <w:rPr>
          <w:rFonts w:cs="Times New Roman"/>
          <w:sz w:val="22"/>
          <w:szCs w:val="22"/>
        </w:rPr>
      </w:pPr>
    </w:p>
    <w:sectPr w:rsidR="000261AE" w:rsidRPr="004547D4" w:rsidSect="0037548C">
      <w:headerReference w:type="default" r:id="rId13"/>
      <w:footnotePr>
        <w:numRestart w:val="eachSect"/>
      </w:footnotePr>
      <w:pgSz w:w="11906" w:h="16838"/>
      <w:pgMar w:top="851" w:right="1435" w:bottom="851" w:left="1418" w:header="709" w:footer="709" w:gutter="0"/>
      <w:cols w:space="708"/>
      <w:titlePg/>
      <w:docGrid w:linePitch="25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D5870" w16cex:dateUtc="2023-01-26T18:52:00Z"/>
  <w16cex:commentExtensible w16cex:durableId="2774ED0D" w16cex:dateUtc="2023-01-20T09:35:00Z"/>
  <w16cex:commentExtensible w16cex:durableId="277D58CB" w16cex:dateUtc="2023-01-26T18:53:00Z"/>
  <w16cex:commentExtensible w16cex:durableId="277D5A57" w16cex:dateUtc="2023-01-26T19:00:00Z"/>
  <w16cex:commentExtensible w16cex:durableId="277D5DD4" w16cex:dateUtc="2023-01-26T1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7DCBEA" w16cid:durableId="27725FD3"/>
  <w16cid:commentId w16cid:paraId="38C6A9F3" w16cid:durableId="2774EA85"/>
  <w16cid:commentId w16cid:paraId="27085CE0" w16cid:durableId="277D4A01"/>
  <w16cid:commentId w16cid:paraId="7668503A" w16cid:durableId="278F85CC"/>
  <w16cid:commentId w16cid:paraId="07A78FF1" w16cid:durableId="279DEC9F"/>
  <w16cid:commentId w16cid:paraId="0C9D2161" w16cid:durableId="279DEDAA"/>
  <w16cid:commentId w16cid:paraId="332D4B58" w16cid:durableId="277D4A02"/>
  <w16cid:commentId w16cid:paraId="01A2F8FC" w16cid:durableId="278F62D6"/>
  <w16cid:commentId w16cid:paraId="7FE2B5D6" w16cid:durableId="277D4A03"/>
  <w16cid:commentId w16cid:paraId="70B0B9E8" w16cid:durableId="278F62D8"/>
  <w16cid:commentId w16cid:paraId="21BA422D" w16cid:durableId="278F62D9"/>
  <w16cid:commentId w16cid:paraId="3C089683" w16cid:durableId="27725FDC"/>
  <w16cid:commentId w16cid:paraId="5E3EAE28" w16cid:durableId="2774EA99"/>
  <w16cid:commentId w16cid:paraId="450DA3FE" w16cid:durableId="277D4A06"/>
  <w16cid:commentId w16cid:paraId="08801BEC" w16cid:durableId="278F62DD"/>
  <w16cid:commentId w16cid:paraId="62F06B7E" w16cid:durableId="278F62DE"/>
  <w16cid:commentId w16cid:paraId="4DC35271" w16cid:durableId="277D4A07"/>
  <w16cid:commentId w16cid:paraId="14406946" w16cid:durableId="278F62E0"/>
  <w16cid:commentId w16cid:paraId="5D5F7F11" w16cid:durableId="277D4A08"/>
  <w16cid:commentId w16cid:paraId="257F27AC" w16cid:durableId="278F62E2"/>
  <w16cid:commentId w16cid:paraId="5F76386B" w16cid:durableId="277D4A09"/>
  <w16cid:commentId w16cid:paraId="70E7AAC6" w16cid:durableId="278F62E4"/>
  <w16cid:commentId w16cid:paraId="4CC3D05F" w16cid:durableId="277D4A0A"/>
  <w16cid:commentId w16cid:paraId="6ED5A24B" w16cid:durableId="278F62E6"/>
  <w16cid:commentId w16cid:paraId="254B1218" w16cid:durableId="278F62E7"/>
  <w16cid:commentId w16cid:paraId="34E5978C" w16cid:durableId="278F67B2"/>
  <w16cid:commentId w16cid:paraId="6B5D5822" w16cid:durableId="278F62E8"/>
  <w16cid:commentId w16cid:paraId="301EC6DC" w16cid:durableId="277D4A0B"/>
  <w16cid:commentId w16cid:paraId="7BA15ACB" w16cid:durableId="277D5870"/>
  <w16cid:commentId w16cid:paraId="3B8A4C50" w16cid:durableId="277D4A0C"/>
  <w16cid:commentId w16cid:paraId="0FE8BE53" w16cid:durableId="27725FED"/>
  <w16cid:commentId w16cid:paraId="2D1FB86F" w16cid:durableId="2774ED0D"/>
  <w16cid:commentId w16cid:paraId="1C6A2034" w16cid:durableId="2774FA96"/>
  <w16cid:commentId w16cid:paraId="1FDB183F" w16cid:durableId="277D58CB"/>
  <w16cid:commentId w16cid:paraId="50E666D1" w16cid:durableId="278F62F0"/>
  <w16cid:commentId w16cid:paraId="0F36D364" w16cid:durableId="277D5A57"/>
  <w16cid:commentId w16cid:paraId="05F1DFE9" w16cid:durableId="277D4A10"/>
  <w16cid:commentId w16cid:paraId="0AE0113E" w16cid:durableId="277D5DD4"/>
  <w16cid:commentId w16cid:paraId="3652AB33" w16cid:durableId="278F62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9DE29" w14:textId="77777777" w:rsidR="00885C7D" w:rsidRDefault="00885C7D" w:rsidP="000261AE">
      <w:pPr>
        <w:spacing w:line="240" w:lineRule="auto"/>
      </w:pPr>
      <w:r>
        <w:separator/>
      </w:r>
    </w:p>
  </w:endnote>
  <w:endnote w:type="continuationSeparator" w:id="0">
    <w:p w14:paraId="0B827536" w14:textId="77777777" w:rsidR="00885C7D" w:rsidRDefault="00885C7D" w:rsidP="00026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91AAD" w14:textId="77777777" w:rsidR="00885C7D" w:rsidRDefault="00885C7D" w:rsidP="000261AE">
      <w:pPr>
        <w:spacing w:line="240" w:lineRule="auto"/>
      </w:pPr>
      <w:r>
        <w:separator/>
      </w:r>
    </w:p>
  </w:footnote>
  <w:footnote w:type="continuationSeparator" w:id="0">
    <w:p w14:paraId="05CCA2A2" w14:textId="77777777" w:rsidR="00885C7D" w:rsidRDefault="00885C7D" w:rsidP="000261AE">
      <w:pPr>
        <w:spacing w:line="240" w:lineRule="auto"/>
      </w:pPr>
      <w:r>
        <w:continuationSeparator/>
      </w:r>
    </w:p>
  </w:footnote>
  <w:footnote w:id="1">
    <w:p w14:paraId="7A17447E" w14:textId="558D9A69" w:rsidR="00EF7B7E" w:rsidRDefault="00EF7B7E" w:rsidP="003D7AEC">
      <w:pPr>
        <w:pStyle w:val="Tekstprzypisudolnego"/>
        <w:jc w:val="both"/>
      </w:pPr>
      <w:r>
        <w:rPr>
          <w:rStyle w:val="Odwoanieprzypisudolnego"/>
        </w:rPr>
        <w:footnoteRef/>
      </w:r>
      <w:r>
        <w:t xml:space="preserve"> </w:t>
      </w:r>
      <w:r w:rsidRPr="002B732D">
        <w:t xml:space="preserve">Aktualizacja obejmuje zmianę podziału między kategoriami wydatków - uwzględnienie części kosztów usług świadczonych przez podmioty trzecie w ramach kategorii wynagrodzenia – jako koszty osobowe. Zmiana ta wynika z doświadczeń w okresie realizacji projektu – z uwagi na sytuację rynkową, zmiany systemu podatkowego, wybór formuły świadczenia usług/ pracy w większości przypadków wynika z uwarunkowań i preferencji wykonawcy, zatem w okresie utrzymania </w:t>
      </w:r>
      <w:r>
        <w:t xml:space="preserve">trwałości </w:t>
      </w:r>
      <w:r w:rsidRPr="002B732D">
        <w:t>projektu przewiduje się elastyczność w obszarze kosztów osobowych (usługi obce/ wynagrodzenia)</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3E802" w14:textId="7BF2A31B" w:rsidR="00EF7B7E" w:rsidRPr="00B371CC" w:rsidRDefault="00EF7B7E" w:rsidP="00923A4E">
    <w:pPr>
      <w:pStyle w:val="Nagwek"/>
      <w:jc w:val="center"/>
    </w:pPr>
    <w:r>
      <w:t xml:space="preserve">– </w:t>
    </w:r>
    <w:r>
      <w:fldChar w:fldCharType="begin"/>
    </w:r>
    <w:r>
      <w:instrText xml:space="preserve"> PAGE  \* MERGEFORMAT </w:instrText>
    </w:r>
    <w:r>
      <w:fldChar w:fldCharType="separate"/>
    </w:r>
    <w:r w:rsidR="005017DC">
      <w:rPr>
        <w:noProof/>
      </w:rPr>
      <w:t>28</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A45"/>
    <w:multiLevelType w:val="hybridMultilevel"/>
    <w:tmpl w:val="94F4E2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772B35"/>
    <w:multiLevelType w:val="hybridMultilevel"/>
    <w:tmpl w:val="A9466A6A"/>
    <w:lvl w:ilvl="0" w:tplc="04150011">
      <w:start w:val="1"/>
      <w:numFmt w:val="decimal"/>
      <w:lvlText w:val="%1)"/>
      <w:lvlJc w:val="left"/>
      <w:pPr>
        <w:ind w:left="448" w:hanging="360"/>
      </w:pPr>
    </w:lvl>
    <w:lvl w:ilvl="1" w:tplc="04150019" w:tentative="1">
      <w:start w:val="1"/>
      <w:numFmt w:val="lowerLetter"/>
      <w:lvlText w:val="%2."/>
      <w:lvlJc w:val="left"/>
      <w:pPr>
        <w:ind w:left="1168" w:hanging="360"/>
      </w:pPr>
    </w:lvl>
    <w:lvl w:ilvl="2" w:tplc="0415001B" w:tentative="1">
      <w:start w:val="1"/>
      <w:numFmt w:val="lowerRoman"/>
      <w:lvlText w:val="%3."/>
      <w:lvlJc w:val="right"/>
      <w:pPr>
        <w:ind w:left="1888" w:hanging="180"/>
      </w:pPr>
    </w:lvl>
    <w:lvl w:ilvl="3" w:tplc="0415000F" w:tentative="1">
      <w:start w:val="1"/>
      <w:numFmt w:val="decimal"/>
      <w:lvlText w:val="%4."/>
      <w:lvlJc w:val="left"/>
      <w:pPr>
        <w:ind w:left="2608" w:hanging="360"/>
      </w:pPr>
    </w:lvl>
    <w:lvl w:ilvl="4" w:tplc="04150019" w:tentative="1">
      <w:start w:val="1"/>
      <w:numFmt w:val="lowerLetter"/>
      <w:lvlText w:val="%5."/>
      <w:lvlJc w:val="left"/>
      <w:pPr>
        <w:ind w:left="3328" w:hanging="360"/>
      </w:pPr>
    </w:lvl>
    <w:lvl w:ilvl="5" w:tplc="0415001B" w:tentative="1">
      <w:start w:val="1"/>
      <w:numFmt w:val="lowerRoman"/>
      <w:lvlText w:val="%6."/>
      <w:lvlJc w:val="right"/>
      <w:pPr>
        <w:ind w:left="4048" w:hanging="180"/>
      </w:pPr>
    </w:lvl>
    <w:lvl w:ilvl="6" w:tplc="0415000F" w:tentative="1">
      <w:start w:val="1"/>
      <w:numFmt w:val="decimal"/>
      <w:lvlText w:val="%7."/>
      <w:lvlJc w:val="left"/>
      <w:pPr>
        <w:ind w:left="4768" w:hanging="360"/>
      </w:pPr>
    </w:lvl>
    <w:lvl w:ilvl="7" w:tplc="04150019" w:tentative="1">
      <w:start w:val="1"/>
      <w:numFmt w:val="lowerLetter"/>
      <w:lvlText w:val="%8."/>
      <w:lvlJc w:val="left"/>
      <w:pPr>
        <w:ind w:left="5488" w:hanging="360"/>
      </w:pPr>
    </w:lvl>
    <w:lvl w:ilvl="8" w:tplc="0415001B" w:tentative="1">
      <w:start w:val="1"/>
      <w:numFmt w:val="lowerRoman"/>
      <w:lvlText w:val="%9."/>
      <w:lvlJc w:val="right"/>
      <w:pPr>
        <w:ind w:left="6208" w:hanging="180"/>
      </w:pPr>
    </w:lvl>
  </w:abstractNum>
  <w:abstractNum w:abstractNumId="2" w15:restartNumberingAfterBreak="0">
    <w:nsid w:val="042F2C20"/>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3" w15:restartNumberingAfterBreak="0">
    <w:nsid w:val="04770A68"/>
    <w:multiLevelType w:val="hybridMultilevel"/>
    <w:tmpl w:val="F0A46F8C"/>
    <w:lvl w:ilvl="0" w:tplc="720215EA">
      <w:start w:val="1"/>
      <w:numFmt w:val="decimal"/>
      <w:lvlText w:val="%1)"/>
      <w:lvlJc w:val="left"/>
      <w:pPr>
        <w:ind w:left="1015" w:hanging="360"/>
      </w:pPr>
      <w:rPr>
        <w:rFonts w:hint="default"/>
      </w:rPr>
    </w:lvl>
    <w:lvl w:ilvl="1" w:tplc="04150019" w:tentative="1">
      <w:start w:val="1"/>
      <w:numFmt w:val="lowerLetter"/>
      <w:lvlText w:val="%2."/>
      <w:lvlJc w:val="left"/>
      <w:pPr>
        <w:ind w:left="1735" w:hanging="360"/>
      </w:pPr>
    </w:lvl>
    <w:lvl w:ilvl="2" w:tplc="0415001B" w:tentative="1">
      <w:start w:val="1"/>
      <w:numFmt w:val="lowerRoman"/>
      <w:lvlText w:val="%3."/>
      <w:lvlJc w:val="right"/>
      <w:pPr>
        <w:ind w:left="2455" w:hanging="180"/>
      </w:pPr>
    </w:lvl>
    <w:lvl w:ilvl="3" w:tplc="0415000F" w:tentative="1">
      <w:start w:val="1"/>
      <w:numFmt w:val="decimal"/>
      <w:lvlText w:val="%4."/>
      <w:lvlJc w:val="left"/>
      <w:pPr>
        <w:ind w:left="3175" w:hanging="360"/>
      </w:pPr>
    </w:lvl>
    <w:lvl w:ilvl="4" w:tplc="04150019" w:tentative="1">
      <w:start w:val="1"/>
      <w:numFmt w:val="lowerLetter"/>
      <w:lvlText w:val="%5."/>
      <w:lvlJc w:val="left"/>
      <w:pPr>
        <w:ind w:left="3895" w:hanging="360"/>
      </w:pPr>
    </w:lvl>
    <w:lvl w:ilvl="5" w:tplc="0415001B" w:tentative="1">
      <w:start w:val="1"/>
      <w:numFmt w:val="lowerRoman"/>
      <w:lvlText w:val="%6."/>
      <w:lvlJc w:val="right"/>
      <w:pPr>
        <w:ind w:left="4615" w:hanging="180"/>
      </w:p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4" w15:restartNumberingAfterBreak="0">
    <w:nsid w:val="04F25E83"/>
    <w:multiLevelType w:val="hybridMultilevel"/>
    <w:tmpl w:val="51F6A6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62603D"/>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6" w15:restartNumberingAfterBreak="0">
    <w:nsid w:val="09DE33A9"/>
    <w:multiLevelType w:val="hybridMultilevel"/>
    <w:tmpl w:val="4B6A7E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B9572E3"/>
    <w:multiLevelType w:val="hybridMultilevel"/>
    <w:tmpl w:val="51F6A6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661732"/>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 w15:restartNumberingAfterBreak="0">
    <w:nsid w:val="116E5026"/>
    <w:multiLevelType w:val="hybridMultilevel"/>
    <w:tmpl w:val="F9105F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E7063F"/>
    <w:multiLevelType w:val="hybridMultilevel"/>
    <w:tmpl w:val="E2EC3DF0"/>
    <w:lvl w:ilvl="0" w:tplc="04150011">
      <w:start w:val="1"/>
      <w:numFmt w:val="decimal"/>
      <w:lvlText w:val="%1)"/>
      <w:lvlJc w:val="left"/>
      <w:pPr>
        <w:ind w:left="501"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847F7C"/>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12" w15:restartNumberingAfterBreak="0">
    <w:nsid w:val="13684075"/>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13" w15:restartNumberingAfterBreak="0">
    <w:nsid w:val="18065023"/>
    <w:multiLevelType w:val="hybridMultilevel"/>
    <w:tmpl w:val="236EBB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3796F"/>
    <w:multiLevelType w:val="hybridMultilevel"/>
    <w:tmpl w:val="E2EC3DF0"/>
    <w:lvl w:ilvl="0" w:tplc="04150011">
      <w:start w:val="1"/>
      <w:numFmt w:val="decimal"/>
      <w:lvlText w:val="%1)"/>
      <w:lvlJc w:val="left"/>
      <w:pPr>
        <w:ind w:left="501"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637A9C"/>
    <w:multiLevelType w:val="hybridMultilevel"/>
    <w:tmpl w:val="ADB6D520"/>
    <w:lvl w:ilvl="0" w:tplc="0415000F">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6" w15:restartNumberingAfterBreak="0">
    <w:nsid w:val="1CD4228D"/>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7" w15:restartNumberingAfterBreak="0">
    <w:nsid w:val="22E328E7"/>
    <w:multiLevelType w:val="hybridMultilevel"/>
    <w:tmpl w:val="AF7EF0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49A6AFE"/>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9" w15:restartNumberingAfterBreak="0">
    <w:nsid w:val="2DE26D52"/>
    <w:multiLevelType w:val="hybridMultilevel"/>
    <w:tmpl w:val="0696FCD4"/>
    <w:lvl w:ilvl="0" w:tplc="D7C2BF64">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1049" w:hanging="360"/>
      </w:pPr>
    </w:lvl>
    <w:lvl w:ilvl="2" w:tplc="0415001B" w:tentative="1">
      <w:start w:val="1"/>
      <w:numFmt w:val="lowerRoman"/>
      <w:lvlText w:val="%3."/>
      <w:lvlJc w:val="right"/>
      <w:pPr>
        <w:ind w:left="1769" w:hanging="180"/>
      </w:pPr>
    </w:lvl>
    <w:lvl w:ilvl="3" w:tplc="0415000F" w:tentative="1">
      <w:start w:val="1"/>
      <w:numFmt w:val="decimal"/>
      <w:lvlText w:val="%4."/>
      <w:lvlJc w:val="left"/>
      <w:pPr>
        <w:ind w:left="2489" w:hanging="360"/>
      </w:pPr>
    </w:lvl>
    <w:lvl w:ilvl="4" w:tplc="04150019" w:tentative="1">
      <w:start w:val="1"/>
      <w:numFmt w:val="lowerLetter"/>
      <w:lvlText w:val="%5."/>
      <w:lvlJc w:val="left"/>
      <w:pPr>
        <w:ind w:left="3209" w:hanging="360"/>
      </w:pPr>
    </w:lvl>
    <w:lvl w:ilvl="5" w:tplc="0415001B" w:tentative="1">
      <w:start w:val="1"/>
      <w:numFmt w:val="lowerRoman"/>
      <w:lvlText w:val="%6."/>
      <w:lvlJc w:val="right"/>
      <w:pPr>
        <w:ind w:left="3929" w:hanging="180"/>
      </w:pPr>
    </w:lvl>
    <w:lvl w:ilvl="6" w:tplc="0415000F" w:tentative="1">
      <w:start w:val="1"/>
      <w:numFmt w:val="decimal"/>
      <w:lvlText w:val="%7."/>
      <w:lvlJc w:val="left"/>
      <w:pPr>
        <w:ind w:left="4649" w:hanging="360"/>
      </w:pPr>
    </w:lvl>
    <w:lvl w:ilvl="7" w:tplc="04150019" w:tentative="1">
      <w:start w:val="1"/>
      <w:numFmt w:val="lowerLetter"/>
      <w:lvlText w:val="%8."/>
      <w:lvlJc w:val="left"/>
      <w:pPr>
        <w:ind w:left="5369" w:hanging="360"/>
      </w:pPr>
    </w:lvl>
    <w:lvl w:ilvl="8" w:tplc="0415001B" w:tentative="1">
      <w:start w:val="1"/>
      <w:numFmt w:val="lowerRoman"/>
      <w:lvlText w:val="%9."/>
      <w:lvlJc w:val="right"/>
      <w:pPr>
        <w:ind w:left="6089" w:hanging="180"/>
      </w:pPr>
    </w:lvl>
  </w:abstractNum>
  <w:abstractNum w:abstractNumId="20" w15:restartNumberingAfterBreak="0">
    <w:nsid w:val="2E6F1218"/>
    <w:multiLevelType w:val="hybridMultilevel"/>
    <w:tmpl w:val="B894A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921C78"/>
    <w:multiLevelType w:val="hybridMultilevel"/>
    <w:tmpl w:val="BF4EB924"/>
    <w:lvl w:ilvl="0" w:tplc="0415000F">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23" w15:restartNumberingAfterBreak="0">
    <w:nsid w:val="49837096"/>
    <w:multiLevelType w:val="hybridMultilevel"/>
    <w:tmpl w:val="F430872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4A3F1F97"/>
    <w:multiLevelType w:val="hybridMultilevel"/>
    <w:tmpl w:val="4EFC79D8"/>
    <w:lvl w:ilvl="0" w:tplc="CD70CAE6">
      <w:start w:val="1"/>
      <w:numFmt w:val="decimal"/>
      <w:lvlText w:val="%1."/>
      <w:lvlJc w:val="left"/>
      <w:pPr>
        <w:ind w:left="732" w:hanging="360"/>
      </w:pPr>
      <w:rPr>
        <w:rFonts w:hint="default"/>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5" w15:restartNumberingAfterBreak="0">
    <w:nsid w:val="4F93112F"/>
    <w:multiLevelType w:val="hybridMultilevel"/>
    <w:tmpl w:val="C4F47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FE2F9C"/>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52FF4823"/>
    <w:multiLevelType w:val="hybridMultilevel"/>
    <w:tmpl w:val="38706F70"/>
    <w:lvl w:ilvl="0" w:tplc="04150011">
      <w:start w:val="1"/>
      <w:numFmt w:val="decimal"/>
      <w:lvlText w:val="%1)"/>
      <w:lvlJc w:val="left"/>
      <w:pPr>
        <w:ind w:left="448" w:hanging="360"/>
      </w:pPr>
      <w:rPr>
        <w:rFonts w:hint="default"/>
      </w:rPr>
    </w:lvl>
    <w:lvl w:ilvl="1" w:tplc="04150019" w:tentative="1">
      <w:start w:val="1"/>
      <w:numFmt w:val="lowerLetter"/>
      <w:lvlText w:val="%2."/>
      <w:lvlJc w:val="left"/>
      <w:pPr>
        <w:ind w:left="1168" w:hanging="360"/>
      </w:pPr>
    </w:lvl>
    <w:lvl w:ilvl="2" w:tplc="0415001B" w:tentative="1">
      <w:start w:val="1"/>
      <w:numFmt w:val="lowerRoman"/>
      <w:lvlText w:val="%3."/>
      <w:lvlJc w:val="right"/>
      <w:pPr>
        <w:ind w:left="1888" w:hanging="180"/>
      </w:pPr>
    </w:lvl>
    <w:lvl w:ilvl="3" w:tplc="0415000F" w:tentative="1">
      <w:start w:val="1"/>
      <w:numFmt w:val="decimal"/>
      <w:lvlText w:val="%4."/>
      <w:lvlJc w:val="left"/>
      <w:pPr>
        <w:ind w:left="2608" w:hanging="360"/>
      </w:pPr>
    </w:lvl>
    <w:lvl w:ilvl="4" w:tplc="04150019" w:tentative="1">
      <w:start w:val="1"/>
      <w:numFmt w:val="lowerLetter"/>
      <w:lvlText w:val="%5."/>
      <w:lvlJc w:val="left"/>
      <w:pPr>
        <w:ind w:left="3328" w:hanging="360"/>
      </w:pPr>
    </w:lvl>
    <w:lvl w:ilvl="5" w:tplc="0415001B" w:tentative="1">
      <w:start w:val="1"/>
      <w:numFmt w:val="lowerRoman"/>
      <w:lvlText w:val="%6."/>
      <w:lvlJc w:val="right"/>
      <w:pPr>
        <w:ind w:left="4048" w:hanging="180"/>
      </w:pPr>
    </w:lvl>
    <w:lvl w:ilvl="6" w:tplc="0415000F" w:tentative="1">
      <w:start w:val="1"/>
      <w:numFmt w:val="decimal"/>
      <w:lvlText w:val="%7."/>
      <w:lvlJc w:val="left"/>
      <w:pPr>
        <w:ind w:left="4768" w:hanging="360"/>
      </w:pPr>
    </w:lvl>
    <w:lvl w:ilvl="7" w:tplc="04150019" w:tentative="1">
      <w:start w:val="1"/>
      <w:numFmt w:val="lowerLetter"/>
      <w:lvlText w:val="%8."/>
      <w:lvlJc w:val="left"/>
      <w:pPr>
        <w:ind w:left="5488" w:hanging="360"/>
      </w:pPr>
    </w:lvl>
    <w:lvl w:ilvl="8" w:tplc="0415001B" w:tentative="1">
      <w:start w:val="1"/>
      <w:numFmt w:val="lowerRoman"/>
      <w:lvlText w:val="%9."/>
      <w:lvlJc w:val="right"/>
      <w:pPr>
        <w:ind w:left="6208" w:hanging="180"/>
      </w:pPr>
    </w:lvl>
  </w:abstractNum>
  <w:abstractNum w:abstractNumId="28" w15:restartNumberingAfterBreak="0">
    <w:nsid w:val="5869751D"/>
    <w:multiLevelType w:val="hybridMultilevel"/>
    <w:tmpl w:val="02EEA1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84737A"/>
    <w:multiLevelType w:val="hybridMultilevel"/>
    <w:tmpl w:val="D75A25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377EDD"/>
    <w:multiLevelType w:val="hybridMultilevel"/>
    <w:tmpl w:val="B27006E8"/>
    <w:lvl w:ilvl="0" w:tplc="04150011">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054467E"/>
    <w:multiLevelType w:val="hybridMultilevel"/>
    <w:tmpl w:val="B27006E8"/>
    <w:lvl w:ilvl="0" w:tplc="04150011">
      <w:start w:val="1"/>
      <w:numFmt w:val="decimal"/>
      <w:lvlText w:val="%1)"/>
      <w:lvlJc w:val="left"/>
      <w:pPr>
        <w:ind w:left="927"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2" w15:restartNumberingAfterBreak="0">
    <w:nsid w:val="60B3046C"/>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33" w15:restartNumberingAfterBreak="0">
    <w:nsid w:val="61472588"/>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34" w15:restartNumberingAfterBreak="0">
    <w:nsid w:val="62CB6447"/>
    <w:multiLevelType w:val="hybridMultilevel"/>
    <w:tmpl w:val="B27006E8"/>
    <w:lvl w:ilvl="0" w:tplc="04150011">
      <w:start w:val="1"/>
      <w:numFmt w:val="decimal"/>
      <w:lvlText w:val="%1)"/>
      <w:lvlJc w:val="left"/>
      <w:pPr>
        <w:ind w:left="732" w:hanging="360"/>
      </w:pPr>
      <w:rPr>
        <w:rFonts w:hint="default"/>
      </w:rPr>
    </w:lvl>
    <w:lvl w:ilvl="1" w:tplc="04150003" w:tentative="1">
      <w:start w:val="1"/>
      <w:numFmt w:val="bullet"/>
      <w:lvlText w:val="o"/>
      <w:lvlJc w:val="left"/>
      <w:pPr>
        <w:ind w:left="1027" w:hanging="360"/>
      </w:pPr>
      <w:rPr>
        <w:rFonts w:ascii="Courier New" w:hAnsi="Courier New" w:cs="Courier New" w:hint="default"/>
      </w:rPr>
    </w:lvl>
    <w:lvl w:ilvl="2" w:tplc="04150005" w:tentative="1">
      <w:start w:val="1"/>
      <w:numFmt w:val="bullet"/>
      <w:lvlText w:val=""/>
      <w:lvlJc w:val="left"/>
      <w:pPr>
        <w:ind w:left="1747" w:hanging="360"/>
      </w:pPr>
      <w:rPr>
        <w:rFonts w:ascii="Wingdings" w:hAnsi="Wingdings" w:hint="default"/>
      </w:rPr>
    </w:lvl>
    <w:lvl w:ilvl="3" w:tplc="04150001" w:tentative="1">
      <w:start w:val="1"/>
      <w:numFmt w:val="bullet"/>
      <w:lvlText w:val=""/>
      <w:lvlJc w:val="left"/>
      <w:pPr>
        <w:ind w:left="2467" w:hanging="360"/>
      </w:pPr>
      <w:rPr>
        <w:rFonts w:ascii="Symbol" w:hAnsi="Symbol" w:hint="default"/>
      </w:rPr>
    </w:lvl>
    <w:lvl w:ilvl="4" w:tplc="04150003" w:tentative="1">
      <w:start w:val="1"/>
      <w:numFmt w:val="bullet"/>
      <w:lvlText w:val="o"/>
      <w:lvlJc w:val="left"/>
      <w:pPr>
        <w:ind w:left="3187" w:hanging="360"/>
      </w:pPr>
      <w:rPr>
        <w:rFonts w:ascii="Courier New" w:hAnsi="Courier New" w:cs="Courier New" w:hint="default"/>
      </w:rPr>
    </w:lvl>
    <w:lvl w:ilvl="5" w:tplc="04150005" w:tentative="1">
      <w:start w:val="1"/>
      <w:numFmt w:val="bullet"/>
      <w:lvlText w:val=""/>
      <w:lvlJc w:val="left"/>
      <w:pPr>
        <w:ind w:left="3907" w:hanging="360"/>
      </w:pPr>
      <w:rPr>
        <w:rFonts w:ascii="Wingdings" w:hAnsi="Wingdings" w:hint="default"/>
      </w:rPr>
    </w:lvl>
    <w:lvl w:ilvl="6" w:tplc="04150001" w:tentative="1">
      <w:start w:val="1"/>
      <w:numFmt w:val="bullet"/>
      <w:lvlText w:val=""/>
      <w:lvlJc w:val="left"/>
      <w:pPr>
        <w:ind w:left="4627" w:hanging="360"/>
      </w:pPr>
      <w:rPr>
        <w:rFonts w:ascii="Symbol" w:hAnsi="Symbol" w:hint="default"/>
      </w:rPr>
    </w:lvl>
    <w:lvl w:ilvl="7" w:tplc="04150003" w:tentative="1">
      <w:start w:val="1"/>
      <w:numFmt w:val="bullet"/>
      <w:lvlText w:val="o"/>
      <w:lvlJc w:val="left"/>
      <w:pPr>
        <w:ind w:left="5347" w:hanging="360"/>
      </w:pPr>
      <w:rPr>
        <w:rFonts w:ascii="Courier New" w:hAnsi="Courier New" w:cs="Courier New" w:hint="default"/>
      </w:rPr>
    </w:lvl>
    <w:lvl w:ilvl="8" w:tplc="04150005" w:tentative="1">
      <w:start w:val="1"/>
      <w:numFmt w:val="bullet"/>
      <w:lvlText w:val=""/>
      <w:lvlJc w:val="left"/>
      <w:pPr>
        <w:ind w:left="6067" w:hanging="360"/>
      </w:pPr>
      <w:rPr>
        <w:rFonts w:ascii="Wingdings" w:hAnsi="Wingdings" w:hint="default"/>
      </w:rPr>
    </w:lvl>
  </w:abstractNum>
  <w:abstractNum w:abstractNumId="35" w15:restartNumberingAfterBreak="0">
    <w:nsid w:val="66E107B8"/>
    <w:multiLevelType w:val="hybridMultilevel"/>
    <w:tmpl w:val="B27006E8"/>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97A3027"/>
    <w:multiLevelType w:val="hybridMultilevel"/>
    <w:tmpl w:val="02EEA1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D31940"/>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8" w15:restartNumberingAfterBreak="0">
    <w:nsid w:val="790C1853"/>
    <w:multiLevelType w:val="hybridMultilevel"/>
    <w:tmpl w:val="83FE2F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546657"/>
    <w:multiLevelType w:val="hybridMultilevel"/>
    <w:tmpl w:val="6774376A"/>
    <w:lvl w:ilvl="0" w:tplc="B5F63212">
      <w:start w:val="1"/>
      <w:numFmt w:val="decimal"/>
      <w:lvlText w:val="%1)"/>
      <w:lvlJc w:val="left"/>
      <w:pPr>
        <w:ind w:left="874" w:hanging="360"/>
      </w:pPr>
      <w:rPr>
        <w:rFonts w:hint="default"/>
      </w:rPr>
    </w:lvl>
    <w:lvl w:ilvl="1" w:tplc="04150019" w:tentative="1">
      <w:start w:val="1"/>
      <w:numFmt w:val="lowerLetter"/>
      <w:lvlText w:val="%2."/>
      <w:lvlJc w:val="left"/>
      <w:pPr>
        <w:ind w:left="1594" w:hanging="360"/>
      </w:pPr>
    </w:lvl>
    <w:lvl w:ilvl="2" w:tplc="0415001B" w:tentative="1">
      <w:start w:val="1"/>
      <w:numFmt w:val="lowerRoman"/>
      <w:lvlText w:val="%3."/>
      <w:lvlJc w:val="right"/>
      <w:pPr>
        <w:ind w:left="2314" w:hanging="180"/>
      </w:pPr>
    </w:lvl>
    <w:lvl w:ilvl="3" w:tplc="0415000F" w:tentative="1">
      <w:start w:val="1"/>
      <w:numFmt w:val="decimal"/>
      <w:lvlText w:val="%4."/>
      <w:lvlJc w:val="left"/>
      <w:pPr>
        <w:ind w:left="3034" w:hanging="360"/>
      </w:pPr>
    </w:lvl>
    <w:lvl w:ilvl="4" w:tplc="04150019" w:tentative="1">
      <w:start w:val="1"/>
      <w:numFmt w:val="lowerLetter"/>
      <w:lvlText w:val="%5."/>
      <w:lvlJc w:val="left"/>
      <w:pPr>
        <w:ind w:left="3754" w:hanging="360"/>
      </w:pPr>
    </w:lvl>
    <w:lvl w:ilvl="5" w:tplc="0415001B" w:tentative="1">
      <w:start w:val="1"/>
      <w:numFmt w:val="lowerRoman"/>
      <w:lvlText w:val="%6."/>
      <w:lvlJc w:val="right"/>
      <w:pPr>
        <w:ind w:left="4474" w:hanging="180"/>
      </w:pPr>
    </w:lvl>
    <w:lvl w:ilvl="6" w:tplc="0415000F" w:tentative="1">
      <w:start w:val="1"/>
      <w:numFmt w:val="decimal"/>
      <w:lvlText w:val="%7."/>
      <w:lvlJc w:val="left"/>
      <w:pPr>
        <w:ind w:left="5194" w:hanging="360"/>
      </w:pPr>
    </w:lvl>
    <w:lvl w:ilvl="7" w:tplc="04150019" w:tentative="1">
      <w:start w:val="1"/>
      <w:numFmt w:val="lowerLetter"/>
      <w:lvlText w:val="%8."/>
      <w:lvlJc w:val="left"/>
      <w:pPr>
        <w:ind w:left="5914" w:hanging="360"/>
      </w:pPr>
    </w:lvl>
    <w:lvl w:ilvl="8" w:tplc="0415001B" w:tentative="1">
      <w:start w:val="1"/>
      <w:numFmt w:val="lowerRoman"/>
      <w:lvlText w:val="%9."/>
      <w:lvlJc w:val="right"/>
      <w:pPr>
        <w:ind w:left="6634" w:hanging="180"/>
      </w:pPr>
    </w:lvl>
  </w:abstractNum>
  <w:abstractNum w:abstractNumId="40" w15:restartNumberingAfterBreak="0">
    <w:nsid w:val="7E393701"/>
    <w:multiLevelType w:val="hybridMultilevel"/>
    <w:tmpl w:val="B01CCD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F165176"/>
    <w:multiLevelType w:val="hybridMultilevel"/>
    <w:tmpl w:val="B27006E8"/>
    <w:lvl w:ilvl="0" w:tplc="04150011">
      <w:start w:val="1"/>
      <w:numFmt w:val="decimal"/>
      <w:lvlText w:val="%1)"/>
      <w:lvlJc w:val="left"/>
      <w:pPr>
        <w:ind w:left="717" w:hanging="360"/>
      </w:pPr>
      <w:rPr>
        <w:rFonts w:hint="default"/>
      </w:rPr>
    </w:lvl>
    <w:lvl w:ilvl="1" w:tplc="04150003" w:tentative="1">
      <w:start w:val="1"/>
      <w:numFmt w:val="bullet"/>
      <w:lvlText w:val="o"/>
      <w:lvlJc w:val="left"/>
      <w:pPr>
        <w:ind w:left="1012" w:hanging="360"/>
      </w:pPr>
      <w:rPr>
        <w:rFonts w:ascii="Courier New" w:hAnsi="Courier New" w:cs="Courier New" w:hint="default"/>
      </w:rPr>
    </w:lvl>
    <w:lvl w:ilvl="2" w:tplc="04150005" w:tentative="1">
      <w:start w:val="1"/>
      <w:numFmt w:val="bullet"/>
      <w:lvlText w:val=""/>
      <w:lvlJc w:val="left"/>
      <w:pPr>
        <w:ind w:left="1732" w:hanging="360"/>
      </w:pPr>
      <w:rPr>
        <w:rFonts w:ascii="Wingdings" w:hAnsi="Wingdings" w:hint="default"/>
      </w:rPr>
    </w:lvl>
    <w:lvl w:ilvl="3" w:tplc="04150001" w:tentative="1">
      <w:start w:val="1"/>
      <w:numFmt w:val="bullet"/>
      <w:lvlText w:val=""/>
      <w:lvlJc w:val="left"/>
      <w:pPr>
        <w:ind w:left="2452" w:hanging="360"/>
      </w:pPr>
      <w:rPr>
        <w:rFonts w:ascii="Symbol" w:hAnsi="Symbol" w:hint="default"/>
      </w:rPr>
    </w:lvl>
    <w:lvl w:ilvl="4" w:tplc="04150003" w:tentative="1">
      <w:start w:val="1"/>
      <w:numFmt w:val="bullet"/>
      <w:lvlText w:val="o"/>
      <w:lvlJc w:val="left"/>
      <w:pPr>
        <w:ind w:left="3172" w:hanging="360"/>
      </w:pPr>
      <w:rPr>
        <w:rFonts w:ascii="Courier New" w:hAnsi="Courier New" w:cs="Courier New" w:hint="default"/>
      </w:rPr>
    </w:lvl>
    <w:lvl w:ilvl="5" w:tplc="04150005" w:tentative="1">
      <w:start w:val="1"/>
      <w:numFmt w:val="bullet"/>
      <w:lvlText w:val=""/>
      <w:lvlJc w:val="left"/>
      <w:pPr>
        <w:ind w:left="3892" w:hanging="360"/>
      </w:pPr>
      <w:rPr>
        <w:rFonts w:ascii="Wingdings" w:hAnsi="Wingdings" w:hint="default"/>
      </w:rPr>
    </w:lvl>
    <w:lvl w:ilvl="6" w:tplc="04150001" w:tentative="1">
      <w:start w:val="1"/>
      <w:numFmt w:val="bullet"/>
      <w:lvlText w:val=""/>
      <w:lvlJc w:val="left"/>
      <w:pPr>
        <w:ind w:left="4612" w:hanging="360"/>
      </w:pPr>
      <w:rPr>
        <w:rFonts w:ascii="Symbol" w:hAnsi="Symbol" w:hint="default"/>
      </w:rPr>
    </w:lvl>
    <w:lvl w:ilvl="7" w:tplc="04150003" w:tentative="1">
      <w:start w:val="1"/>
      <w:numFmt w:val="bullet"/>
      <w:lvlText w:val="o"/>
      <w:lvlJc w:val="left"/>
      <w:pPr>
        <w:ind w:left="5332" w:hanging="360"/>
      </w:pPr>
      <w:rPr>
        <w:rFonts w:ascii="Courier New" w:hAnsi="Courier New" w:cs="Courier New" w:hint="default"/>
      </w:rPr>
    </w:lvl>
    <w:lvl w:ilvl="8" w:tplc="04150005" w:tentative="1">
      <w:start w:val="1"/>
      <w:numFmt w:val="bullet"/>
      <w:lvlText w:val=""/>
      <w:lvlJc w:val="left"/>
      <w:pPr>
        <w:ind w:left="6052" w:hanging="360"/>
      </w:pPr>
      <w:rPr>
        <w:rFonts w:ascii="Wingdings" w:hAnsi="Wingdings" w:hint="default"/>
      </w:rPr>
    </w:lvl>
  </w:abstractNum>
  <w:num w:numId="1">
    <w:abstractNumId w:val="21"/>
  </w:num>
  <w:num w:numId="2">
    <w:abstractNumId w:val="10"/>
  </w:num>
  <w:num w:numId="3">
    <w:abstractNumId w:val="19"/>
  </w:num>
  <w:num w:numId="4">
    <w:abstractNumId w:val="30"/>
  </w:num>
  <w:num w:numId="5">
    <w:abstractNumId w:val="22"/>
  </w:num>
  <w:num w:numId="6">
    <w:abstractNumId w:val="35"/>
  </w:num>
  <w:num w:numId="7">
    <w:abstractNumId w:val="31"/>
  </w:num>
  <w:num w:numId="8">
    <w:abstractNumId w:val="3"/>
  </w:num>
  <w:num w:numId="9">
    <w:abstractNumId w:val="15"/>
  </w:num>
  <w:num w:numId="10">
    <w:abstractNumId w:val="34"/>
  </w:num>
  <w:num w:numId="11">
    <w:abstractNumId w:val="41"/>
  </w:num>
  <w:num w:numId="12">
    <w:abstractNumId w:val="2"/>
  </w:num>
  <w:num w:numId="13">
    <w:abstractNumId w:val="32"/>
  </w:num>
  <w:num w:numId="14">
    <w:abstractNumId w:val="11"/>
  </w:num>
  <w:num w:numId="15">
    <w:abstractNumId w:val="12"/>
  </w:num>
  <w:num w:numId="16">
    <w:abstractNumId w:val="33"/>
  </w:num>
  <w:num w:numId="17">
    <w:abstractNumId w:val="39"/>
  </w:num>
  <w:num w:numId="18">
    <w:abstractNumId w:val="20"/>
  </w:num>
  <w:num w:numId="19">
    <w:abstractNumId w:val="29"/>
  </w:num>
  <w:num w:numId="20">
    <w:abstractNumId w:val="4"/>
  </w:num>
  <w:num w:numId="21">
    <w:abstractNumId w:val="36"/>
  </w:num>
  <w:num w:numId="22">
    <w:abstractNumId w:val="13"/>
  </w:num>
  <w:num w:numId="23">
    <w:abstractNumId w:val="28"/>
  </w:num>
  <w:num w:numId="24">
    <w:abstractNumId w:val="7"/>
  </w:num>
  <w:num w:numId="25">
    <w:abstractNumId w:val="14"/>
  </w:num>
  <w:num w:numId="26">
    <w:abstractNumId w:val="1"/>
  </w:num>
  <w:num w:numId="27">
    <w:abstractNumId w:val="40"/>
  </w:num>
  <w:num w:numId="28">
    <w:abstractNumId w:val="17"/>
  </w:num>
  <w:num w:numId="29">
    <w:abstractNumId w:val="6"/>
  </w:num>
  <w:num w:numId="30">
    <w:abstractNumId w:val="0"/>
  </w:num>
  <w:num w:numId="31">
    <w:abstractNumId w:val="23"/>
  </w:num>
  <w:num w:numId="32">
    <w:abstractNumId w:val="9"/>
  </w:num>
  <w:num w:numId="33">
    <w:abstractNumId w:val="25"/>
  </w:num>
  <w:num w:numId="34">
    <w:abstractNumId w:val="24"/>
  </w:num>
  <w:num w:numId="35">
    <w:abstractNumId w:val="37"/>
  </w:num>
  <w:num w:numId="36">
    <w:abstractNumId w:val="26"/>
  </w:num>
  <w:num w:numId="37">
    <w:abstractNumId w:val="5"/>
  </w:num>
  <w:num w:numId="38">
    <w:abstractNumId w:val="8"/>
  </w:num>
  <w:num w:numId="39">
    <w:abstractNumId w:val="16"/>
  </w:num>
  <w:num w:numId="40">
    <w:abstractNumId w:val="18"/>
  </w:num>
  <w:num w:numId="41">
    <w:abstractNumId w:val="38"/>
  </w:num>
  <w:num w:numId="4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efaultTabStop w:val="708"/>
  <w:hyphenationZone w:val="425"/>
  <w:characterSpacingControl w:val="doNotCompress"/>
  <w:savePreviewPicture/>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72F"/>
    <w:rsid w:val="00000782"/>
    <w:rsid w:val="000007BB"/>
    <w:rsid w:val="00000891"/>
    <w:rsid w:val="000014D6"/>
    <w:rsid w:val="00002626"/>
    <w:rsid w:val="00003840"/>
    <w:rsid w:val="00005AA9"/>
    <w:rsid w:val="00006276"/>
    <w:rsid w:val="000067BE"/>
    <w:rsid w:val="00006F59"/>
    <w:rsid w:val="00007132"/>
    <w:rsid w:val="00007D59"/>
    <w:rsid w:val="0001024E"/>
    <w:rsid w:val="00011269"/>
    <w:rsid w:val="00012324"/>
    <w:rsid w:val="00012BE3"/>
    <w:rsid w:val="0001684B"/>
    <w:rsid w:val="00016FD7"/>
    <w:rsid w:val="00017120"/>
    <w:rsid w:val="0001722E"/>
    <w:rsid w:val="000175D7"/>
    <w:rsid w:val="00017D0F"/>
    <w:rsid w:val="00021167"/>
    <w:rsid w:val="000217C0"/>
    <w:rsid w:val="00022446"/>
    <w:rsid w:val="00023825"/>
    <w:rsid w:val="00023D01"/>
    <w:rsid w:val="00023F26"/>
    <w:rsid w:val="00023F29"/>
    <w:rsid w:val="00024C53"/>
    <w:rsid w:val="000252E2"/>
    <w:rsid w:val="0002570D"/>
    <w:rsid w:val="000261AE"/>
    <w:rsid w:val="000277D1"/>
    <w:rsid w:val="00030380"/>
    <w:rsid w:val="00032B95"/>
    <w:rsid w:val="00032E2D"/>
    <w:rsid w:val="00035F33"/>
    <w:rsid w:val="000364C4"/>
    <w:rsid w:val="00036600"/>
    <w:rsid w:val="00036721"/>
    <w:rsid w:val="00036F1B"/>
    <w:rsid w:val="00037A13"/>
    <w:rsid w:val="00040F4D"/>
    <w:rsid w:val="00042107"/>
    <w:rsid w:val="0004643B"/>
    <w:rsid w:val="00046EEC"/>
    <w:rsid w:val="0004763E"/>
    <w:rsid w:val="00051FDF"/>
    <w:rsid w:val="00052EC2"/>
    <w:rsid w:val="00052F67"/>
    <w:rsid w:val="0005417E"/>
    <w:rsid w:val="000542C6"/>
    <w:rsid w:val="00054640"/>
    <w:rsid w:val="0005536B"/>
    <w:rsid w:val="00056C86"/>
    <w:rsid w:val="00056DB2"/>
    <w:rsid w:val="000605D7"/>
    <w:rsid w:val="000606A7"/>
    <w:rsid w:val="000612B7"/>
    <w:rsid w:val="00061764"/>
    <w:rsid w:val="00061B8F"/>
    <w:rsid w:val="00061F32"/>
    <w:rsid w:val="00063FC6"/>
    <w:rsid w:val="0006418D"/>
    <w:rsid w:val="000647C1"/>
    <w:rsid w:val="00065152"/>
    <w:rsid w:val="0006582D"/>
    <w:rsid w:val="00065992"/>
    <w:rsid w:val="00067005"/>
    <w:rsid w:val="00067E08"/>
    <w:rsid w:val="00070639"/>
    <w:rsid w:val="00070A80"/>
    <w:rsid w:val="00070D05"/>
    <w:rsid w:val="0007173C"/>
    <w:rsid w:val="00071E08"/>
    <w:rsid w:val="00071F39"/>
    <w:rsid w:val="00072239"/>
    <w:rsid w:val="00072270"/>
    <w:rsid w:val="0007236B"/>
    <w:rsid w:val="00072827"/>
    <w:rsid w:val="00072BFE"/>
    <w:rsid w:val="00073635"/>
    <w:rsid w:val="00073974"/>
    <w:rsid w:val="00073A0D"/>
    <w:rsid w:val="00073C6C"/>
    <w:rsid w:val="00074635"/>
    <w:rsid w:val="000749D7"/>
    <w:rsid w:val="00075E29"/>
    <w:rsid w:val="00077334"/>
    <w:rsid w:val="000809DF"/>
    <w:rsid w:val="00080B38"/>
    <w:rsid w:val="00082647"/>
    <w:rsid w:val="0008416D"/>
    <w:rsid w:val="00084B87"/>
    <w:rsid w:val="00086C92"/>
    <w:rsid w:val="000908B5"/>
    <w:rsid w:val="00092296"/>
    <w:rsid w:val="00093553"/>
    <w:rsid w:val="000937A1"/>
    <w:rsid w:val="0009498F"/>
    <w:rsid w:val="00094BD4"/>
    <w:rsid w:val="000966DB"/>
    <w:rsid w:val="000A16E6"/>
    <w:rsid w:val="000A1E9C"/>
    <w:rsid w:val="000A39F6"/>
    <w:rsid w:val="000A3C35"/>
    <w:rsid w:val="000A3E3B"/>
    <w:rsid w:val="000A3E7A"/>
    <w:rsid w:val="000B02C7"/>
    <w:rsid w:val="000B09CB"/>
    <w:rsid w:val="000B1DA2"/>
    <w:rsid w:val="000B5327"/>
    <w:rsid w:val="000B6069"/>
    <w:rsid w:val="000C07E5"/>
    <w:rsid w:val="000C0A76"/>
    <w:rsid w:val="000C1627"/>
    <w:rsid w:val="000C1C25"/>
    <w:rsid w:val="000C2321"/>
    <w:rsid w:val="000C3FA2"/>
    <w:rsid w:val="000C52F2"/>
    <w:rsid w:val="000C5977"/>
    <w:rsid w:val="000C69D3"/>
    <w:rsid w:val="000D0EB2"/>
    <w:rsid w:val="000D1F42"/>
    <w:rsid w:val="000D3262"/>
    <w:rsid w:val="000D3F38"/>
    <w:rsid w:val="000D4C7F"/>
    <w:rsid w:val="000D7C69"/>
    <w:rsid w:val="000E12E9"/>
    <w:rsid w:val="000E1F34"/>
    <w:rsid w:val="000E1F35"/>
    <w:rsid w:val="000E30D2"/>
    <w:rsid w:val="000E66F3"/>
    <w:rsid w:val="000E7F06"/>
    <w:rsid w:val="000F1DCE"/>
    <w:rsid w:val="000F1F71"/>
    <w:rsid w:val="000F55A9"/>
    <w:rsid w:val="000F56CC"/>
    <w:rsid w:val="000F7C19"/>
    <w:rsid w:val="00101A3A"/>
    <w:rsid w:val="001021EC"/>
    <w:rsid w:val="00103619"/>
    <w:rsid w:val="001037A5"/>
    <w:rsid w:val="00103856"/>
    <w:rsid w:val="00104651"/>
    <w:rsid w:val="00105896"/>
    <w:rsid w:val="00105A6A"/>
    <w:rsid w:val="00106C4A"/>
    <w:rsid w:val="001070A4"/>
    <w:rsid w:val="00107AB1"/>
    <w:rsid w:val="00111EB2"/>
    <w:rsid w:val="001123AA"/>
    <w:rsid w:val="001130A8"/>
    <w:rsid w:val="001149EB"/>
    <w:rsid w:val="00115768"/>
    <w:rsid w:val="00116956"/>
    <w:rsid w:val="00120150"/>
    <w:rsid w:val="001201D3"/>
    <w:rsid w:val="001202D5"/>
    <w:rsid w:val="00120FD0"/>
    <w:rsid w:val="00122058"/>
    <w:rsid w:val="001228C5"/>
    <w:rsid w:val="00123BA1"/>
    <w:rsid w:val="0012487D"/>
    <w:rsid w:val="00125DDA"/>
    <w:rsid w:val="001264D4"/>
    <w:rsid w:val="00126DF4"/>
    <w:rsid w:val="00127BBF"/>
    <w:rsid w:val="00127C16"/>
    <w:rsid w:val="00131CE0"/>
    <w:rsid w:val="00131E81"/>
    <w:rsid w:val="00132EE3"/>
    <w:rsid w:val="00133145"/>
    <w:rsid w:val="00133CE8"/>
    <w:rsid w:val="0013549A"/>
    <w:rsid w:val="001361B7"/>
    <w:rsid w:val="0013766D"/>
    <w:rsid w:val="001378CB"/>
    <w:rsid w:val="00137BF6"/>
    <w:rsid w:val="0014014A"/>
    <w:rsid w:val="00141467"/>
    <w:rsid w:val="001429A2"/>
    <w:rsid w:val="00143836"/>
    <w:rsid w:val="001454B8"/>
    <w:rsid w:val="0014573C"/>
    <w:rsid w:val="00145AB3"/>
    <w:rsid w:val="00145C29"/>
    <w:rsid w:val="00146CA1"/>
    <w:rsid w:val="00146FCB"/>
    <w:rsid w:val="00151076"/>
    <w:rsid w:val="00151DA8"/>
    <w:rsid w:val="00151F8C"/>
    <w:rsid w:val="001528DC"/>
    <w:rsid w:val="00153555"/>
    <w:rsid w:val="00154D20"/>
    <w:rsid w:val="00156564"/>
    <w:rsid w:val="001606F0"/>
    <w:rsid w:val="001607EB"/>
    <w:rsid w:val="00161E2C"/>
    <w:rsid w:val="001632FC"/>
    <w:rsid w:val="0016394F"/>
    <w:rsid w:val="00164476"/>
    <w:rsid w:val="00164812"/>
    <w:rsid w:val="0016504E"/>
    <w:rsid w:val="00165766"/>
    <w:rsid w:val="0016797C"/>
    <w:rsid w:val="00170893"/>
    <w:rsid w:val="001715D0"/>
    <w:rsid w:val="001738F6"/>
    <w:rsid w:val="0017483F"/>
    <w:rsid w:val="00175230"/>
    <w:rsid w:val="00175AF2"/>
    <w:rsid w:val="00176E14"/>
    <w:rsid w:val="001773E6"/>
    <w:rsid w:val="001800BD"/>
    <w:rsid w:val="001822E6"/>
    <w:rsid w:val="00182B3D"/>
    <w:rsid w:val="00182ED4"/>
    <w:rsid w:val="0018530B"/>
    <w:rsid w:val="00185316"/>
    <w:rsid w:val="00187084"/>
    <w:rsid w:val="00187EF3"/>
    <w:rsid w:val="00190007"/>
    <w:rsid w:val="001904FD"/>
    <w:rsid w:val="00190891"/>
    <w:rsid w:val="00190B20"/>
    <w:rsid w:val="001911CD"/>
    <w:rsid w:val="00191347"/>
    <w:rsid w:val="00191463"/>
    <w:rsid w:val="001914ED"/>
    <w:rsid w:val="00191871"/>
    <w:rsid w:val="00191ABB"/>
    <w:rsid w:val="001961A7"/>
    <w:rsid w:val="0019679A"/>
    <w:rsid w:val="00196E92"/>
    <w:rsid w:val="00196EB8"/>
    <w:rsid w:val="00196F3C"/>
    <w:rsid w:val="0019777F"/>
    <w:rsid w:val="00197BBA"/>
    <w:rsid w:val="001A3689"/>
    <w:rsid w:val="001A449B"/>
    <w:rsid w:val="001A4D16"/>
    <w:rsid w:val="001A60FB"/>
    <w:rsid w:val="001A6784"/>
    <w:rsid w:val="001A6A34"/>
    <w:rsid w:val="001A79E6"/>
    <w:rsid w:val="001B03CB"/>
    <w:rsid w:val="001B228B"/>
    <w:rsid w:val="001B2B03"/>
    <w:rsid w:val="001B4265"/>
    <w:rsid w:val="001B4F11"/>
    <w:rsid w:val="001B51EF"/>
    <w:rsid w:val="001B7EB9"/>
    <w:rsid w:val="001C011C"/>
    <w:rsid w:val="001C0126"/>
    <w:rsid w:val="001C079D"/>
    <w:rsid w:val="001C118B"/>
    <w:rsid w:val="001C2796"/>
    <w:rsid w:val="001C2B3F"/>
    <w:rsid w:val="001C523C"/>
    <w:rsid w:val="001C5243"/>
    <w:rsid w:val="001C7954"/>
    <w:rsid w:val="001D028F"/>
    <w:rsid w:val="001D4438"/>
    <w:rsid w:val="001D499D"/>
    <w:rsid w:val="001D560B"/>
    <w:rsid w:val="001D5955"/>
    <w:rsid w:val="001D77DD"/>
    <w:rsid w:val="001D7896"/>
    <w:rsid w:val="001D79C8"/>
    <w:rsid w:val="001E19E5"/>
    <w:rsid w:val="001E2659"/>
    <w:rsid w:val="001E2A33"/>
    <w:rsid w:val="001E31CA"/>
    <w:rsid w:val="001E4476"/>
    <w:rsid w:val="001E6F30"/>
    <w:rsid w:val="001F0424"/>
    <w:rsid w:val="001F15B4"/>
    <w:rsid w:val="001F3433"/>
    <w:rsid w:val="001F3A2C"/>
    <w:rsid w:val="001F43DB"/>
    <w:rsid w:val="001F4B0C"/>
    <w:rsid w:val="001F50EF"/>
    <w:rsid w:val="001F6651"/>
    <w:rsid w:val="001F66F9"/>
    <w:rsid w:val="001F7E62"/>
    <w:rsid w:val="001F7F2D"/>
    <w:rsid w:val="00200F09"/>
    <w:rsid w:val="00201955"/>
    <w:rsid w:val="00201E9B"/>
    <w:rsid w:val="00202424"/>
    <w:rsid w:val="00204849"/>
    <w:rsid w:val="00205D99"/>
    <w:rsid w:val="00207968"/>
    <w:rsid w:val="00207E6A"/>
    <w:rsid w:val="00207E6B"/>
    <w:rsid w:val="0021007E"/>
    <w:rsid w:val="00211547"/>
    <w:rsid w:val="00213F43"/>
    <w:rsid w:val="0021481A"/>
    <w:rsid w:val="00214C1E"/>
    <w:rsid w:val="00215613"/>
    <w:rsid w:val="00215CED"/>
    <w:rsid w:val="00217C82"/>
    <w:rsid w:val="00223375"/>
    <w:rsid w:val="00223F24"/>
    <w:rsid w:val="0022481D"/>
    <w:rsid w:val="002257F1"/>
    <w:rsid w:val="002268C6"/>
    <w:rsid w:val="00226B30"/>
    <w:rsid w:val="0022738B"/>
    <w:rsid w:val="00230A4F"/>
    <w:rsid w:val="0023484C"/>
    <w:rsid w:val="00234CE0"/>
    <w:rsid w:val="002364C6"/>
    <w:rsid w:val="002369EC"/>
    <w:rsid w:val="00236EF1"/>
    <w:rsid w:val="00236F6B"/>
    <w:rsid w:val="002379AB"/>
    <w:rsid w:val="00237D9F"/>
    <w:rsid w:val="00237F08"/>
    <w:rsid w:val="00240155"/>
    <w:rsid w:val="002414B9"/>
    <w:rsid w:val="00244868"/>
    <w:rsid w:val="002467D1"/>
    <w:rsid w:val="002467D4"/>
    <w:rsid w:val="00246CB4"/>
    <w:rsid w:val="002474C3"/>
    <w:rsid w:val="00247BEE"/>
    <w:rsid w:val="002508E3"/>
    <w:rsid w:val="00250D99"/>
    <w:rsid w:val="00251DF3"/>
    <w:rsid w:val="002545B2"/>
    <w:rsid w:val="002546F0"/>
    <w:rsid w:val="002551AA"/>
    <w:rsid w:val="0025556E"/>
    <w:rsid w:val="002609F6"/>
    <w:rsid w:val="00262780"/>
    <w:rsid w:val="00262C86"/>
    <w:rsid w:val="00264689"/>
    <w:rsid w:val="00264C5F"/>
    <w:rsid w:val="00265293"/>
    <w:rsid w:val="0026713B"/>
    <w:rsid w:val="00270B23"/>
    <w:rsid w:val="00270C80"/>
    <w:rsid w:val="00271079"/>
    <w:rsid w:val="002724B0"/>
    <w:rsid w:val="0027467B"/>
    <w:rsid w:val="00274A91"/>
    <w:rsid w:val="00280A48"/>
    <w:rsid w:val="00281A8E"/>
    <w:rsid w:val="00282BC5"/>
    <w:rsid w:val="002848CB"/>
    <w:rsid w:val="00284D90"/>
    <w:rsid w:val="00284EC9"/>
    <w:rsid w:val="0028540B"/>
    <w:rsid w:val="00285506"/>
    <w:rsid w:val="002859B7"/>
    <w:rsid w:val="002860ED"/>
    <w:rsid w:val="0028652C"/>
    <w:rsid w:val="00286AC4"/>
    <w:rsid w:val="0029014F"/>
    <w:rsid w:val="00292379"/>
    <w:rsid w:val="00292FF0"/>
    <w:rsid w:val="00293473"/>
    <w:rsid w:val="002945E1"/>
    <w:rsid w:val="002948E8"/>
    <w:rsid w:val="00295A25"/>
    <w:rsid w:val="002966D0"/>
    <w:rsid w:val="002A1434"/>
    <w:rsid w:val="002A2058"/>
    <w:rsid w:val="002A2181"/>
    <w:rsid w:val="002A2979"/>
    <w:rsid w:val="002A4FCD"/>
    <w:rsid w:val="002A7F2F"/>
    <w:rsid w:val="002B2412"/>
    <w:rsid w:val="002B2508"/>
    <w:rsid w:val="002B471E"/>
    <w:rsid w:val="002B4CC3"/>
    <w:rsid w:val="002B4CEA"/>
    <w:rsid w:val="002B5E73"/>
    <w:rsid w:val="002B5F94"/>
    <w:rsid w:val="002B67F4"/>
    <w:rsid w:val="002B732D"/>
    <w:rsid w:val="002C2520"/>
    <w:rsid w:val="002C2CC9"/>
    <w:rsid w:val="002C31E7"/>
    <w:rsid w:val="002C471F"/>
    <w:rsid w:val="002C544E"/>
    <w:rsid w:val="002C5795"/>
    <w:rsid w:val="002C6E46"/>
    <w:rsid w:val="002D1B6E"/>
    <w:rsid w:val="002D2E8C"/>
    <w:rsid w:val="002D5812"/>
    <w:rsid w:val="002D6620"/>
    <w:rsid w:val="002D7541"/>
    <w:rsid w:val="002E00D7"/>
    <w:rsid w:val="002E1ADD"/>
    <w:rsid w:val="002E1FAD"/>
    <w:rsid w:val="002E2A9C"/>
    <w:rsid w:val="002E3D3E"/>
    <w:rsid w:val="002E5FE8"/>
    <w:rsid w:val="002E7ACD"/>
    <w:rsid w:val="002F002F"/>
    <w:rsid w:val="002F0957"/>
    <w:rsid w:val="002F1DC7"/>
    <w:rsid w:val="002F1F25"/>
    <w:rsid w:val="002F3070"/>
    <w:rsid w:val="002F5529"/>
    <w:rsid w:val="003008C9"/>
    <w:rsid w:val="00302EB5"/>
    <w:rsid w:val="00305F8B"/>
    <w:rsid w:val="003062F5"/>
    <w:rsid w:val="00306582"/>
    <w:rsid w:val="003074A6"/>
    <w:rsid w:val="00307D65"/>
    <w:rsid w:val="003105C2"/>
    <w:rsid w:val="00312152"/>
    <w:rsid w:val="003138C9"/>
    <w:rsid w:val="00313927"/>
    <w:rsid w:val="003140AF"/>
    <w:rsid w:val="00316700"/>
    <w:rsid w:val="00316E64"/>
    <w:rsid w:val="00317FEF"/>
    <w:rsid w:val="0032094D"/>
    <w:rsid w:val="00321436"/>
    <w:rsid w:val="00321504"/>
    <w:rsid w:val="00321F02"/>
    <w:rsid w:val="0032256F"/>
    <w:rsid w:val="003231BF"/>
    <w:rsid w:val="003232DC"/>
    <w:rsid w:val="00324EE0"/>
    <w:rsid w:val="00325706"/>
    <w:rsid w:val="0032735C"/>
    <w:rsid w:val="003300ED"/>
    <w:rsid w:val="00331230"/>
    <w:rsid w:val="00331D1B"/>
    <w:rsid w:val="00332AD1"/>
    <w:rsid w:val="00332E21"/>
    <w:rsid w:val="003330D1"/>
    <w:rsid w:val="003337BC"/>
    <w:rsid w:val="00336C0A"/>
    <w:rsid w:val="00340DBB"/>
    <w:rsid w:val="0034121E"/>
    <w:rsid w:val="00341F0A"/>
    <w:rsid w:val="00343945"/>
    <w:rsid w:val="00347D9F"/>
    <w:rsid w:val="003500E8"/>
    <w:rsid w:val="00350EC8"/>
    <w:rsid w:val="00351D53"/>
    <w:rsid w:val="00353FC5"/>
    <w:rsid w:val="00356120"/>
    <w:rsid w:val="0035672A"/>
    <w:rsid w:val="00356AAE"/>
    <w:rsid w:val="00357476"/>
    <w:rsid w:val="00357E16"/>
    <w:rsid w:val="003600BB"/>
    <w:rsid w:val="00363480"/>
    <w:rsid w:val="00363738"/>
    <w:rsid w:val="00365750"/>
    <w:rsid w:val="00365AB9"/>
    <w:rsid w:val="003660E4"/>
    <w:rsid w:val="00366A8D"/>
    <w:rsid w:val="00367C7A"/>
    <w:rsid w:val="00370D8C"/>
    <w:rsid w:val="003718B1"/>
    <w:rsid w:val="003722A4"/>
    <w:rsid w:val="003731F2"/>
    <w:rsid w:val="003743B0"/>
    <w:rsid w:val="00374F11"/>
    <w:rsid w:val="00375036"/>
    <w:rsid w:val="0037548C"/>
    <w:rsid w:val="003760E0"/>
    <w:rsid w:val="003762CD"/>
    <w:rsid w:val="00376829"/>
    <w:rsid w:val="00377A5E"/>
    <w:rsid w:val="00377E9F"/>
    <w:rsid w:val="00380925"/>
    <w:rsid w:val="003822AD"/>
    <w:rsid w:val="0038266C"/>
    <w:rsid w:val="00391219"/>
    <w:rsid w:val="003916C8"/>
    <w:rsid w:val="00391D67"/>
    <w:rsid w:val="0039229E"/>
    <w:rsid w:val="0039465C"/>
    <w:rsid w:val="00394EDD"/>
    <w:rsid w:val="00395FAD"/>
    <w:rsid w:val="00396067"/>
    <w:rsid w:val="0039625A"/>
    <w:rsid w:val="00396E91"/>
    <w:rsid w:val="003A05F5"/>
    <w:rsid w:val="003A0978"/>
    <w:rsid w:val="003A0983"/>
    <w:rsid w:val="003A1521"/>
    <w:rsid w:val="003A1F01"/>
    <w:rsid w:val="003A2A20"/>
    <w:rsid w:val="003A2DCC"/>
    <w:rsid w:val="003A32FE"/>
    <w:rsid w:val="003A5312"/>
    <w:rsid w:val="003A5567"/>
    <w:rsid w:val="003A5D6C"/>
    <w:rsid w:val="003A724E"/>
    <w:rsid w:val="003A791B"/>
    <w:rsid w:val="003B2DDB"/>
    <w:rsid w:val="003B2E91"/>
    <w:rsid w:val="003B325C"/>
    <w:rsid w:val="003B4D41"/>
    <w:rsid w:val="003B68CE"/>
    <w:rsid w:val="003C04BF"/>
    <w:rsid w:val="003C19D5"/>
    <w:rsid w:val="003C1E20"/>
    <w:rsid w:val="003C1E41"/>
    <w:rsid w:val="003C242A"/>
    <w:rsid w:val="003C2591"/>
    <w:rsid w:val="003C407E"/>
    <w:rsid w:val="003C55DE"/>
    <w:rsid w:val="003C61AC"/>
    <w:rsid w:val="003C6A77"/>
    <w:rsid w:val="003C7302"/>
    <w:rsid w:val="003D02F5"/>
    <w:rsid w:val="003D0C58"/>
    <w:rsid w:val="003D14C5"/>
    <w:rsid w:val="003D1DB6"/>
    <w:rsid w:val="003D3575"/>
    <w:rsid w:val="003D3A32"/>
    <w:rsid w:val="003D4FD0"/>
    <w:rsid w:val="003D636C"/>
    <w:rsid w:val="003D641B"/>
    <w:rsid w:val="003D7AEC"/>
    <w:rsid w:val="003E65C2"/>
    <w:rsid w:val="003E7378"/>
    <w:rsid w:val="003E79E8"/>
    <w:rsid w:val="003E7D2A"/>
    <w:rsid w:val="003E7E42"/>
    <w:rsid w:val="003F1F3B"/>
    <w:rsid w:val="003F2E32"/>
    <w:rsid w:val="003F32C7"/>
    <w:rsid w:val="003F3826"/>
    <w:rsid w:val="003F405A"/>
    <w:rsid w:val="003F4277"/>
    <w:rsid w:val="003F4744"/>
    <w:rsid w:val="003F5A5D"/>
    <w:rsid w:val="003F7CC1"/>
    <w:rsid w:val="00400C7C"/>
    <w:rsid w:val="00401F09"/>
    <w:rsid w:val="00402C7F"/>
    <w:rsid w:val="00402D44"/>
    <w:rsid w:val="0040406A"/>
    <w:rsid w:val="00404677"/>
    <w:rsid w:val="0040493F"/>
    <w:rsid w:val="00404A9A"/>
    <w:rsid w:val="00406521"/>
    <w:rsid w:val="00406F1A"/>
    <w:rsid w:val="00407076"/>
    <w:rsid w:val="004108D4"/>
    <w:rsid w:val="00411295"/>
    <w:rsid w:val="004133FD"/>
    <w:rsid w:val="00413763"/>
    <w:rsid w:val="00415442"/>
    <w:rsid w:val="004158D0"/>
    <w:rsid w:val="00415E27"/>
    <w:rsid w:val="00416096"/>
    <w:rsid w:val="00416991"/>
    <w:rsid w:val="0041776B"/>
    <w:rsid w:val="00420489"/>
    <w:rsid w:val="004206D6"/>
    <w:rsid w:val="00420B5C"/>
    <w:rsid w:val="00420C6B"/>
    <w:rsid w:val="0042119D"/>
    <w:rsid w:val="00421F44"/>
    <w:rsid w:val="004223F1"/>
    <w:rsid w:val="00422BF9"/>
    <w:rsid w:val="00423295"/>
    <w:rsid w:val="0042378E"/>
    <w:rsid w:val="00423976"/>
    <w:rsid w:val="00425E31"/>
    <w:rsid w:val="004262C9"/>
    <w:rsid w:val="004278A1"/>
    <w:rsid w:val="00432555"/>
    <w:rsid w:val="004367D8"/>
    <w:rsid w:val="00436913"/>
    <w:rsid w:val="004405A0"/>
    <w:rsid w:val="00440CEE"/>
    <w:rsid w:val="00440D52"/>
    <w:rsid w:val="00441F91"/>
    <w:rsid w:val="00442B2C"/>
    <w:rsid w:val="00442BA8"/>
    <w:rsid w:val="0044307B"/>
    <w:rsid w:val="00444997"/>
    <w:rsid w:val="004452D6"/>
    <w:rsid w:val="00445956"/>
    <w:rsid w:val="00445FC8"/>
    <w:rsid w:val="004508DA"/>
    <w:rsid w:val="0045164E"/>
    <w:rsid w:val="00452ADC"/>
    <w:rsid w:val="004531ED"/>
    <w:rsid w:val="004547D4"/>
    <w:rsid w:val="00460437"/>
    <w:rsid w:val="0046066F"/>
    <w:rsid w:val="00460E52"/>
    <w:rsid w:val="00463D34"/>
    <w:rsid w:val="00463EA3"/>
    <w:rsid w:val="00464318"/>
    <w:rsid w:val="00465193"/>
    <w:rsid w:val="0046527E"/>
    <w:rsid w:val="004667E8"/>
    <w:rsid w:val="004669B8"/>
    <w:rsid w:val="00466BDC"/>
    <w:rsid w:val="00467376"/>
    <w:rsid w:val="00470E69"/>
    <w:rsid w:val="004710F8"/>
    <w:rsid w:val="00471153"/>
    <w:rsid w:val="00472342"/>
    <w:rsid w:val="004735BF"/>
    <w:rsid w:val="00475021"/>
    <w:rsid w:val="00475FC4"/>
    <w:rsid w:val="00481DF6"/>
    <w:rsid w:val="0048206E"/>
    <w:rsid w:val="00486181"/>
    <w:rsid w:val="004864E5"/>
    <w:rsid w:val="004868DF"/>
    <w:rsid w:val="00487EB4"/>
    <w:rsid w:val="0049162A"/>
    <w:rsid w:val="004920B4"/>
    <w:rsid w:val="00493E19"/>
    <w:rsid w:val="00497A61"/>
    <w:rsid w:val="004A097F"/>
    <w:rsid w:val="004A0CF8"/>
    <w:rsid w:val="004A2CAD"/>
    <w:rsid w:val="004A3F20"/>
    <w:rsid w:val="004A45F3"/>
    <w:rsid w:val="004B0DF4"/>
    <w:rsid w:val="004B18AF"/>
    <w:rsid w:val="004B4D1E"/>
    <w:rsid w:val="004B4F9F"/>
    <w:rsid w:val="004B7C5B"/>
    <w:rsid w:val="004C36B0"/>
    <w:rsid w:val="004C47A4"/>
    <w:rsid w:val="004C617A"/>
    <w:rsid w:val="004D1146"/>
    <w:rsid w:val="004D43AB"/>
    <w:rsid w:val="004D4899"/>
    <w:rsid w:val="004D65D9"/>
    <w:rsid w:val="004D6E58"/>
    <w:rsid w:val="004D798E"/>
    <w:rsid w:val="004D7D10"/>
    <w:rsid w:val="004E058E"/>
    <w:rsid w:val="004E193D"/>
    <w:rsid w:val="004E2A81"/>
    <w:rsid w:val="004E3ADD"/>
    <w:rsid w:val="004E3DA3"/>
    <w:rsid w:val="004E5B3F"/>
    <w:rsid w:val="004E6CB2"/>
    <w:rsid w:val="004E7B6C"/>
    <w:rsid w:val="004E7F31"/>
    <w:rsid w:val="004F108D"/>
    <w:rsid w:val="004F19BC"/>
    <w:rsid w:val="004F1E70"/>
    <w:rsid w:val="004F328B"/>
    <w:rsid w:val="004F4752"/>
    <w:rsid w:val="004F4B52"/>
    <w:rsid w:val="004F5D5E"/>
    <w:rsid w:val="004F73C0"/>
    <w:rsid w:val="00501786"/>
    <w:rsid w:val="005017DC"/>
    <w:rsid w:val="0050285A"/>
    <w:rsid w:val="00503015"/>
    <w:rsid w:val="00503565"/>
    <w:rsid w:val="00505BD4"/>
    <w:rsid w:val="00505C20"/>
    <w:rsid w:val="00505FA6"/>
    <w:rsid w:val="00506C95"/>
    <w:rsid w:val="00506DDA"/>
    <w:rsid w:val="00507A13"/>
    <w:rsid w:val="00511C2C"/>
    <w:rsid w:val="00511FEE"/>
    <w:rsid w:val="005144F3"/>
    <w:rsid w:val="00514D08"/>
    <w:rsid w:val="005160B5"/>
    <w:rsid w:val="005168A5"/>
    <w:rsid w:val="00520E6F"/>
    <w:rsid w:val="00520ED6"/>
    <w:rsid w:val="0052100C"/>
    <w:rsid w:val="00521476"/>
    <w:rsid w:val="00521754"/>
    <w:rsid w:val="00521BBE"/>
    <w:rsid w:val="00522856"/>
    <w:rsid w:val="005235AD"/>
    <w:rsid w:val="0052386A"/>
    <w:rsid w:val="00523F41"/>
    <w:rsid w:val="00524EDC"/>
    <w:rsid w:val="0052568F"/>
    <w:rsid w:val="00530112"/>
    <w:rsid w:val="005305FD"/>
    <w:rsid w:val="005307A0"/>
    <w:rsid w:val="005308C4"/>
    <w:rsid w:val="0053149A"/>
    <w:rsid w:val="00531BF4"/>
    <w:rsid w:val="00532705"/>
    <w:rsid w:val="00532F3E"/>
    <w:rsid w:val="005334D3"/>
    <w:rsid w:val="00533574"/>
    <w:rsid w:val="0053399A"/>
    <w:rsid w:val="005343FB"/>
    <w:rsid w:val="005379B2"/>
    <w:rsid w:val="0054060E"/>
    <w:rsid w:val="00541019"/>
    <w:rsid w:val="0054333C"/>
    <w:rsid w:val="0054392A"/>
    <w:rsid w:val="005441C7"/>
    <w:rsid w:val="00545212"/>
    <w:rsid w:val="00545E2C"/>
    <w:rsid w:val="00547F8A"/>
    <w:rsid w:val="0055187C"/>
    <w:rsid w:val="005521B5"/>
    <w:rsid w:val="0055265E"/>
    <w:rsid w:val="00553055"/>
    <w:rsid w:val="00554250"/>
    <w:rsid w:val="0055457C"/>
    <w:rsid w:val="00554DB9"/>
    <w:rsid w:val="00554F8C"/>
    <w:rsid w:val="005559AF"/>
    <w:rsid w:val="00557B1D"/>
    <w:rsid w:val="00560249"/>
    <w:rsid w:val="00561C2B"/>
    <w:rsid w:val="0056233E"/>
    <w:rsid w:val="0056234B"/>
    <w:rsid w:val="00563ED7"/>
    <w:rsid w:val="005643C8"/>
    <w:rsid w:val="0056569C"/>
    <w:rsid w:val="005702EE"/>
    <w:rsid w:val="005748C1"/>
    <w:rsid w:val="005761CD"/>
    <w:rsid w:val="00580305"/>
    <w:rsid w:val="00580389"/>
    <w:rsid w:val="00580752"/>
    <w:rsid w:val="00581184"/>
    <w:rsid w:val="00581F7B"/>
    <w:rsid w:val="00582D9D"/>
    <w:rsid w:val="00585194"/>
    <w:rsid w:val="005869EE"/>
    <w:rsid w:val="005874C5"/>
    <w:rsid w:val="00592DA1"/>
    <w:rsid w:val="005932FE"/>
    <w:rsid w:val="0059357A"/>
    <w:rsid w:val="00594115"/>
    <w:rsid w:val="00595566"/>
    <w:rsid w:val="00596CBC"/>
    <w:rsid w:val="005A02F7"/>
    <w:rsid w:val="005A0479"/>
    <w:rsid w:val="005A1257"/>
    <w:rsid w:val="005A2673"/>
    <w:rsid w:val="005A6884"/>
    <w:rsid w:val="005A7EDC"/>
    <w:rsid w:val="005B02F6"/>
    <w:rsid w:val="005B179A"/>
    <w:rsid w:val="005B1882"/>
    <w:rsid w:val="005B2D0D"/>
    <w:rsid w:val="005B2E99"/>
    <w:rsid w:val="005B37F6"/>
    <w:rsid w:val="005B4318"/>
    <w:rsid w:val="005B50ED"/>
    <w:rsid w:val="005B6305"/>
    <w:rsid w:val="005C0905"/>
    <w:rsid w:val="005C13E4"/>
    <w:rsid w:val="005C2087"/>
    <w:rsid w:val="005C2A79"/>
    <w:rsid w:val="005C2D47"/>
    <w:rsid w:val="005C3267"/>
    <w:rsid w:val="005C39D9"/>
    <w:rsid w:val="005C3FAF"/>
    <w:rsid w:val="005C5109"/>
    <w:rsid w:val="005C6CCB"/>
    <w:rsid w:val="005D1093"/>
    <w:rsid w:val="005D17D6"/>
    <w:rsid w:val="005D24BB"/>
    <w:rsid w:val="005D2C0D"/>
    <w:rsid w:val="005D31A6"/>
    <w:rsid w:val="005D3338"/>
    <w:rsid w:val="005D3D0A"/>
    <w:rsid w:val="005D4163"/>
    <w:rsid w:val="005D753C"/>
    <w:rsid w:val="005D7601"/>
    <w:rsid w:val="005D763E"/>
    <w:rsid w:val="005E2100"/>
    <w:rsid w:val="005E31A9"/>
    <w:rsid w:val="005E6B79"/>
    <w:rsid w:val="005E6D04"/>
    <w:rsid w:val="005E7BF8"/>
    <w:rsid w:val="005F002B"/>
    <w:rsid w:val="005F04ED"/>
    <w:rsid w:val="005F1108"/>
    <w:rsid w:val="005F1F5A"/>
    <w:rsid w:val="005F2729"/>
    <w:rsid w:val="005F5E35"/>
    <w:rsid w:val="005F661B"/>
    <w:rsid w:val="005F67FC"/>
    <w:rsid w:val="00600752"/>
    <w:rsid w:val="0060203F"/>
    <w:rsid w:val="00603320"/>
    <w:rsid w:val="006035C5"/>
    <w:rsid w:val="00603C1F"/>
    <w:rsid w:val="006056A4"/>
    <w:rsid w:val="006060E3"/>
    <w:rsid w:val="00606A29"/>
    <w:rsid w:val="006076D8"/>
    <w:rsid w:val="006076FF"/>
    <w:rsid w:val="006119FB"/>
    <w:rsid w:val="00612CD2"/>
    <w:rsid w:val="006135FC"/>
    <w:rsid w:val="006161A1"/>
    <w:rsid w:val="006167FA"/>
    <w:rsid w:val="0061684D"/>
    <w:rsid w:val="006202DE"/>
    <w:rsid w:val="00620D11"/>
    <w:rsid w:val="00621180"/>
    <w:rsid w:val="00621CDB"/>
    <w:rsid w:val="006220ED"/>
    <w:rsid w:val="006224FA"/>
    <w:rsid w:val="006241CF"/>
    <w:rsid w:val="00624E44"/>
    <w:rsid w:val="00624F83"/>
    <w:rsid w:val="00627ACC"/>
    <w:rsid w:val="00631D03"/>
    <w:rsid w:val="00632708"/>
    <w:rsid w:val="00632797"/>
    <w:rsid w:val="00633082"/>
    <w:rsid w:val="00633170"/>
    <w:rsid w:val="0063446F"/>
    <w:rsid w:val="00634694"/>
    <w:rsid w:val="00634968"/>
    <w:rsid w:val="00634EF0"/>
    <w:rsid w:val="00635839"/>
    <w:rsid w:val="0063591C"/>
    <w:rsid w:val="00640741"/>
    <w:rsid w:val="00640FEF"/>
    <w:rsid w:val="00643F6A"/>
    <w:rsid w:val="006443FF"/>
    <w:rsid w:val="00646E73"/>
    <w:rsid w:val="00646EA9"/>
    <w:rsid w:val="00647967"/>
    <w:rsid w:val="00647C3F"/>
    <w:rsid w:val="00647F60"/>
    <w:rsid w:val="0065117A"/>
    <w:rsid w:val="006536CA"/>
    <w:rsid w:val="006537FA"/>
    <w:rsid w:val="00653D20"/>
    <w:rsid w:val="00655776"/>
    <w:rsid w:val="00656437"/>
    <w:rsid w:val="006571A8"/>
    <w:rsid w:val="00657D22"/>
    <w:rsid w:val="0066072F"/>
    <w:rsid w:val="00662D05"/>
    <w:rsid w:val="0066348E"/>
    <w:rsid w:val="006649DC"/>
    <w:rsid w:val="006659D8"/>
    <w:rsid w:val="0066606A"/>
    <w:rsid w:val="006660BC"/>
    <w:rsid w:val="0066613E"/>
    <w:rsid w:val="00666354"/>
    <w:rsid w:val="00666646"/>
    <w:rsid w:val="00670014"/>
    <w:rsid w:val="006703B7"/>
    <w:rsid w:val="006718EC"/>
    <w:rsid w:val="00672EBC"/>
    <w:rsid w:val="0067356B"/>
    <w:rsid w:val="00673E54"/>
    <w:rsid w:val="006760B1"/>
    <w:rsid w:val="00680E12"/>
    <w:rsid w:val="0068202D"/>
    <w:rsid w:val="006833B1"/>
    <w:rsid w:val="006852DA"/>
    <w:rsid w:val="006856B8"/>
    <w:rsid w:val="00686070"/>
    <w:rsid w:val="0068661E"/>
    <w:rsid w:val="006868A4"/>
    <w:rsid w:val="00686E40"/>
    <w:rsid w:val="00687E8D"/>
    <w:rsid w:val="00687F44"/>
    <w:rsid w:val="0069028E"/>
    <w:rsid w:val="00690914"/>
    <w:rsid w:val="006911A7"/>
    <w:rsid w:val="00692891"/>
    <w:rsid w:val="00693E21"/>
    <w:rsid w:val="006972B4"/>
    <w:rsid w:val="00697BC1"/>
    <w:rsid w:val="006A2D4D"/>
    <w:rsid w:val="006A4068"/>
    <w:rsid w:val="006A4A20"/>
    <w:rsid w:val="006A6247"/>
    <w:rsid w:val="006B0264"/>
    <w:rsid w:val="006B03D6"/>
    <w:rsid w:val="006B0719"/>
    <w:rsid w:val="006B107C"/>
    <w:rsid w:val="006B1C9B"/>
    <w:rsid w:val="006B20F7"/>
    <w:rsid w:val="006B3079"/>
    <w:rsid w:val="006B4052"/>
    <w:rsid w:val="006B50F3"/>
    <w:rsid w:val="006B55DC"/>
    <w:rsid w:val="006B59B9"/>
    <w:rsid w:val="006B7343"/>
    <w:rsid w:val="006B79B8"/>
    <w:rsid w:val="006B7FDE"/>
    <w:rsid w:val="006C12DD"/>
    <w:rsid w:val="006C2540"/>
    <w:rsid w:val="006C2871"/>
    <w:rsid w:val="006C40B7"/>
    <w:rsid w:val="006C4538"/>
    <w:rsid w:val="006C6BB0"/>
    <w:rsid w:val="006C7AF1"/>
    <w:rsid w:val="006C7F13"/>
    <w:rsid w:val="006D40AD"/>
    <w:rsid w:val="006D52A7"/>
    <w:rsid w:val="006D5E90"/>
    <w:rsid w:val="006D6774"/>
    <w:rsid w:val="006D6E71"/>
    <w:rsid w:val="006D70E3"/>
    <w:rsid w:val="006D7BE3"/>
    <w:rsid w:val="006E0564"/>
    <w:rsid w:val="006E14FF"/>
    <w:rsid w:val="006E47F6"/>
    <w:rsid w:val="006E560F"/>
    <w:rsid w:val="006E5F94"/>
    <w:rsid w:val="006F1AC8"/>
    <w:rsid w:val="006F3046"/>
    <w:rsid w:val="006F65B4"/>
    <w:rsid w:val="007001E5"/>
    <w:rsid w:val="00700C8C"/>
    <w:rsid w:val="007018FA"/>
    <w:rsid w:val="00701FE7"/>
    <w:rsid w:val="00703326"/>
    <w:rsid w:val="0070348A"/>
    <w:rsid w:val="00703C5D"/>
    <w:rsid w:val="00705EB7"/>
    <w:rsid w:val="00706EDA"/>
    <w:rsid w:val="00711816"/>
    <w:rsid w:val="00712532"/>
    <w:rsid w:val="00712842"/>
    <w:rsid w:val="0071289C"/>
    <w:rsid w:val="007131A2"/>
    <w:rsid w:val="00713636"/>
    <w:rsid w:val="007142AE"/>
    <w:rsid w:val="00714F87"/>
    <w:rsid w:val="00715976"/>
    <w:rsid w:val="007178EC"/>
    <w:rsid w:val="00721207"/>
    <w:rsid w:val="0072131E"/>
    <w:rsid w:val="007213D9"/>
    <w:rsid w:val="00722565"/>
    <w:rsid w:val="00724015"/>
    <w:rsid w:val="00725EC0"/>
    <w:rsid w:val="00725F25"/>
    <w:rsid w:val="007267AD"/>
    <w:rsid w:val="007269E1"/>
    <w:rsid w:val="00726E53"/>
    <w:rsid w:val="00727013"/>
    <w:rsid w:val="00727F61"/>
    <w:rsid w:val="007302BC"/>
    <w:rsid w:val="00732BBC"/>
    <w:rsid w:val="0073342C"/>
    <w:rsid w:val="00733806"/>
    <w:rsid w:val="00733F87"/>
    <w:rsid w:val="007352AF"/>
    <w:rsid w:val="00736684"/>
    <w:rsid w:val="0073688D"/>
    <w:rsid w:val="00742927"/>
    <w:rsid w:val="00743123"/>
    <w:rsid w:val="007456CA"/>
    <w:rsid w:val="00746913"/>
    <w:rsid w:val="00750B47"/>
    <w:rsid w:val="00751CAB"/>
    <w:rsid w:val="0075298B"/>
    <w:rsid w:val="007532AB"/>
    <w:rsid w:val="007550DF"/>
    <w:rsid w:val="00755B38"/>
    <w:rsid w:val="00755EB4"/>
    <w:rsid w:val="00760B0B"/>
    <w:rsid w:val="007612DF"/>
    <w:rsid w:val="007628FD"/>
    <w:rsid w:val="007637B1"/>
    <w:rsid w:val="0076691E"/>
    <w:rsid w:val="00771B17"/>
    <w:rsid w:val="007722B1"/>
    <w:rsid w:val="00772777"/>
    <w:rsid w:val="00773ED6"/>
    <w:rsid w:val="00773FD8"/>
    <w:rsid w:val="0078121A"/>
    <w:rsid w:val="00783DE1"/>
    <w:rsid w:val="00784923"/>
    <w:rsid w:val="00784BDF"/>
    <w:rsid w:val="007851AC"/>
    <w:rsid w:val="007869C1"/>
    <w:rsid w:val="00787AF2"/>
    <w:rsid w:val="007902F2"/>
    <w:rsid w:val="00790347"/>
    <w:rsid w:val="00791217"/>
    <w:rsid w:val="007916F9"/>
    <w:rsid w:val="00792B70"/>
    <w:rsid w:val="00792F1C"/>
    <w:rsid w:val="00793395"/>
    <w:rsid w:val="00793E0F"/>
    <w:rsid w:val="00796994"/>
    <w:rsid w:val="00797A2C"/>
    <w:rsid w:val="00797AF7"/>
    <w:rsid w:val="00797D47"/>
    <w:rsid w:val="007A2DDF"/>
    <w:rsid w:val="007A5DA0"/>
    <w:rsid w:val="007A6208"/>
    <w:rsid w:val="007A6EE7"/>
    <w:rsid w:val="007A75B7"/>
    <w:rsid w:val="007A799A"/>
    <w:rsid w:val="007B1105"/>
    <w:rsid w:val="007B117F"/>
    <w:rsid w:val="007B339A"/>
    <w:rsid w:val="007B5AFA"/>
    <w:rsid w:val="007B60D6"/>
    <w:rsid w:val="007B7A36"/>
    <w:rsid w:val="007B7E3B"/>
    <w:rsid w:val="007C047A"/>
    <w:rsid w:val="007C195C"/>
    <w:rsid w:val="007C1DBE"/>
    <w:rsid w:val="007C44ED"/>
    <w:rsid w:val="007C5D02"/>
    <w:rsid w:val="007C64A2"/>
    <w:rsid w:val="007C6D22"/>
    <w:rsid w:val="007D180A"/>
    <w:rsid w:val="007D2C28"/>
    <w:rsid w:val="007D381F"/>
    <w:rsid w:val="007D3FDC"/>
    <w:rsid w:val="007D4E2A"/>
    <w:rsid w:val="007D6151"/>
    <w:rsid w:val="007D69EE"/>
    <w:rsid w:val="007D6AF6"/>
    <w:rsid w:val="007E054D"/>
    <w:rsid w:val="007E1837"/>
    <w:rsid w:val="007E1A52"/>
    <w:rsid w:val="007E2442"/>
    <w:rsid w:val="007E2CCE"/>
    <w:rsid w:val="007E34B5"/>
    <w:rsid w:val="007E358B"/>
    <w:rsid w:val="007E5142"/>
    <w:rsid w:val="007E63EF"/>
    <w:rsid w:val="007F1E75"/>
    <w:rsid w:val="007F29F0"/>
    <w:rsid w:val="007F2A7A"/>
    <w:rsid w:val="007F2B10"/>
    <w:rsid w:val="007F303C"/>
    <w:rsid w:val="007F5869"/>
    <w:rsid w:val="007F6125"/>
    <w:rsid w:val="007F7708"/>
    <w:rsid w:val="00802860"/>
    <w:rsid w:val="008029BA"/>
    <w:rsid w:val="00803ABA"/>
    <w:rsid w:val="008047CF"/>
    <w:rsid w:val="00804D14"/>
    <w:rsid w:val="00804EC7"/>
    <w:rsid w:val="00806793"/>
    <w:rsid w:val="00807099"/>
    <w:rsid w:val="00807F0C"/>
    <w:rsid w:val="00810473"/>
    <w:rsid w:val="008114DA"/>
    <w:rsid w:val="008162CC"/>
    <w:rsid w:val="008205E2"/>
    <w:rsid w:val="0082081B"/>
    <w:rsid w:val="00820FD2"/>
    <w:rsid w:val="00823A45"/>
    <w:rsid w:val="00824FF8"/>
    <w:rsid w:val="008276EA"/>
    <w:rsid w:val="0083168B"/>
    <w:rsid w:val="00831930"/>
    <w:rsid w:val="0083282D"/>
    <w:rsid w:val="00834587"/>
    <w:rsid w:val="00834BB0"/>
    <w:rsid w:val="008355D9"/>
    <w:rsid w:val="00836255"/>
    <w:rsid w:val="00837CBB"/>
    <w:rsid w:val="00841F78"/>
    <w:rsid w:val="008420D0"/>
    <w:rsid w:val="00842412"/>
    <w:rsid w:val="00842B19"/>
    <w:rsid w:val="008436EC"/>
    <w:rsid w:val="00843FC6"/>
    <w:rsid w:val="00844100"/>
    <w:rsid w:val="00847105"/>
    <w:rsid w:val="00847CB3"/>
    <w:rsid w:val="00847E40"/>
    <w:rsid w:val="00850225"/>
    <w:rsid w:val="008528A8"/>
    <w:rsid w:val="00853A96"/>
    <w:rsid w:val="00853C0F"/>
    <w:rsid w:val="0085440D"/>
    <w:rsid w:val="00854B02"/>
    <w:rsid w:val="00855B52"/>
    <w:rsid w:val="00856E22"/>
    <w:rsid w:val="00856EC7"/>
    <w:rsid w:val="00860CD6"/>
    <w:rsid w:val="00863BEB"/>
    <w:rsid w:val="00864D9C"/>
    <w:rsid w:val="00866E15"/>
    <w:rsid w:val="0087012D"/>
    <w:rsid w:val="00873977"/>
    <w:rsid w:val="00873C0F"/>
    <w:rsid w:val="008746A1"/>
    <w:rsid w:val="008748A1"/>
    <w:rsid w:val="008770F6"/>
    <w:rsid w:val="0088012D"/>
    <w:rsid w:val="00881435"/>
    <w:rsid w:val="00881AD1"/>
    <w:rsid w:val="00882E47"/>
    <w:rsid w:val="00883228"/>
    <w:rsid w:val="008838D9"/>
    <w:rsid w:val="0088400B"/>
    <w:rsid w:val="00884748"/>
    <w:rsid w:val="00885C7D"/>
    <w:rsid w:val="00887525"/>
    <w:rsid w:val="008878FF"/>
    <w:rsid w:val="00891DAB"/>
    <w:rsid w:val="00895646"/>
    <w:rsid w:val="00896631"/>
    <w:rsid w:val="008975AA"/>
    <w:rsid w:val="00897A4C"/>
    <w:rsid w:val="00897C52"/>
    <w:rsid w:val="00897E1E"/>
    <w:rsid w:val="008A0B7E"/>
    <w:rsid w:val="008A0C46"/>
    <w:rsid w:val="008A3046"/>
    <w:rsid w:val="008A5DEF"/>
    <w:rsid w:val="008A6AEC"/>
    <w:rsid w:val="008A6C5B"/>
    <w:rsid w:val="008A6DAD"/>
    <w:rsid w:val="008A7F9B"/>
    <w:rsid w:val="008B00E0"/>
    <w:rsid w:val="008B0BA7"/>
    <w:rsid w:val="008B0C06"/>
    <w:rsid w:val="008B2F43"/>
    <w:rsid w:val="008B532C"/>
    <w:rsid w:val="008B613A"/>
    <w:rsid w:val="008B7BA5"/>
    <w:rsid w:val="008C0407"/>
    <w:rsid w:val="008C0862"/>
    <w:rsid w:val="008C172A"/>
    <w:rsid w:val="008C3D12"/>
    <w:rsid w:val="008C411E"/>
    <w:rsid w:val="008C49FF"/>
    <w:rsid w:val="008C4A8F"/>
    <w:rsid w:val="008C6479"/>
    <w:rsid w:val="008C74FE"/>
    <w:rsid w:val="008C779D"/>
    <w:rsid w:val="008C7A4E"/>
    <w:rsid w:val="008D0AFA"/>
    <w:rsid w:val="008D0B79"/>
    <w:rsid w:val="008D2066"/>
    <w:rsid w:val="008D32C8"/>
    <w:rsid w:val="008D6213"/>
    <w:rsid w:val="008D6538"/>
    <w:rsid w:val="008D7954"/>
    <w:rsid w:val="008E0375"/>
    <w:rsid w:val="008E0C59"/>
    <w:rsid w:val="008E2281"/>
    <w:rsid w:val="008E24D1"/>
    <w:rsid w:val="008E30F3"/>
    <w:rsid w:val="008E4D88"/>
    <w:rsid w:val="008E4FCD"/>
    <w:rsid w:val="008E60FC"/>
    <w:rsid w:val="008E6788"/>
    <w:rsid w:val="008E7140"/>
    <w:rsid w:val="008F04EB"/>
    <w:rsid w:val="008F0C5B"/>
    <w:rsid w:val="008F18CA"/>
    <w:rsid w:val="008F2966"/>
    <w:rsid w:val="008F3185"/>
    <w:rsid w:val="008F695A"/>
    <w:rsid w:val="008F6E4B"/>
    <w:rsid w:val="008F7256"/>
    <w:rsid w:val="008F73F7"/>
    <w:rsid w:val="008F7640"/>
    <w:rsid w:val="008F798F"/>
    <w:rsid w:val="00900A2B"/>
    <w:rsid w:val="00901AD3"/>
    <w:rsid w:val="009027D7"/>
    <w:rsid w:val="0090516D"/>
    <w:rsid w:val="00907257"/>
    <w:rsid w:val="00910884"/>
    <w:rsid w:val="00913DA7"/>
    <w:rsid w:val="00914286"/>
    <w:rsid w:val="009147AA"/>
    <w:rsid w:val="009153FC"/>
    <w:rsid w:val="009167CF"/>
    <w:rsid w:val="00916979"/>
    <w:rsid w:val="00917885"/>
    <w:rsid w:val="00917987"/>
    <w:rsid w:val="00920C22"/>
    <w:rsid w:val="00921AB8"/>
    <w:rsid w:val="009220D8"/>
    <w:rsid w:val="00922A7F"/>
    <w:rsid w:val="00923A4E"/>
    <w:rsid w:val="00923A56"/>
    <w:rsid w:val="009240A8"/>
    <w:rsid w:val="00924B62"/>
    <w:rsid w:val="00925B54"/>
    <w:rsid w:val="009306A8"/>
    <w:rsid w:val="00932385"/>
    <w:rsid w:val="00932694"/>
    <w:rsid w:val="0093293C"/>
    <w:rsid w:val="00933BCA"/>
    <w:rsid w:val="00935428"/>
    <w:rsid w:val="00935A28"/>
    <w:rsid w:val="009379EF"/>
    <w:rsid w:val="009410F2"/>
    <w:rsid w:val="009442D7"/>
    <w:rsid w:val="00945505"/>
    <w:rsid w:val="0094566C"/>
    <w:rsid w:val="00947DE4"/>
    <w:rsid w:val="00947F8F"/>
    <w:rsid w:val="00950D0E"/>
    <w:rsid w:val="0095194D"/>
    <w:rsid w:val="00952875"/>
    <w:rsid w:val="00955352"/>
    <w:rsid w:val="00955D57"/>
    <w:rsid w:val="00956F4E"/>
    <w:rsid w:val="00965052"/>
    <w:rsid w:val="009660AF"/>
    <w:rsid w:val="00970217"/>
    <w:rsid w:val="00970B81"/>
    <w:rsid w:val="00970D09"/>
    <w:rsid w:val="009710CD"/>
    <w:rsid w:val="00971732"/>
    <w:rsid w:val="0097237C"/>
    <w:rsid w:val="009723DE"/>
    <w:rsid w:val="00972497"/>
    <w:rsid w:val="00972531"/>
    <w:rsid w:val="00972D8D"/>
    <w:rsid w:val="00975436"/>
    <w:rsid w:val="00977517"/>
    <w:rsid w:val="0097754C"/>
    <w:rsid w:val="00980073"/>
    <w:rsid w:val="00980807"/>
    <w:rsid w:val="009818E5"/>
    <w:rsid w:val="009826E7"/>
    <w:rsid w:val="00983391"/>
    <w:rsid w:val="0098581A"/>
    <w:rsid w:val="009859C0"/>
    <w:rsid w:val="0098626D"/>
    <w:rsid w:val="0098729D"/>
    <w:rsid w:val="00991C89"/>
    <w:rsid w:val="00991F9A"/>
    <w:rsid w:val="00991FF6"/>
    <w:rsid w:val="00994151"/>
    <w:rsid w:val="00995837"/>
    <w:rsid w:val="0099584A"/>
    <w:rsid w:val="00996FB0"/>
    <w:rsid w:val="0099758C"/>
    <w:rsid w:val="009A14C1"/>
    <w:rsid w:val="009A169F"/>
    <w:rsid w:val="009A1C20"/>
    <w:rsid w:val="009A5660"/>
    <w:rsid w:val="009A669D"/>
    <w:rsid w:val="009B0B85"/>
    <w:rsid w:val="009B292D"/>
    <w:rsid w:val="009B4F13"/>
    <w:rsid w:val="009B4FE8"/>
    <w:rsid w:val="009B7331"/>
    <w:rsid w:val="009C057F"/>
    <w:rsid w:val="009C0B44"/>
    <w:rsid w:val="009C3511"/>
    <w:rsid w:val="009C3E77"/>
    <w:rsid w:val="009C48C4"/>
    <w:rsid w:val="009C54D6"/>
    <w:rsid w:val="009D0A7F"/>
    <w:rsid w:val="009D2323"/>
    <w:rsid w:val="009D5636"/>
    <w:rsid w:val="009D7471"/>
    <w:rsid w:val="009E05EC"/>
    <w:rsid w:val="009E08CC"/>
    <w:rsid w:val="009E6553"/>
    <w:rsid w:val="009E6BB9"/>
    <w:rsid w:val="009F0855"/>
    <w:rsid w:val="009F22F4"/>
    <w:rsid w:val="009F4352"/>
    <w:rsid w:val="009F4511"/>
    <w:rsid w:val="009F5803"/>
    <w:rsid w:val="009F63A1"/>
    <w:rsid w:val="009F63A3"/>
    <w:rsid w:val="009F729F"/>
    <w:rsid w:val="009F7810"/>
    <w:rsid w:val="009F7B1F"/>
    <w:rsid w:val="009F7E75"/>
    <w:rsid w:val="00A01D86"/>
    <w:rsid w:val="00A03F40"/>
    <w:rsid w:val="00A05B4E"/>
    <w:rsid w:val="00A05EF8"/>
    <w:rsid w:val="00A06455"/>
    <w:rsid w:val="00A12908"/>
    <w:rsid w:val="00A12C93"/>
    <w:rsid w:val="00A12F6A"/>
    <w:rsid w:val="00A14207"/>
    <w:rsid w:val="00A14DBD"/>
    <w:rsid w:val="00A170DA"/>
    <w:rsid w:val="00A175A5"/>
    <w:rsid w:val="00A2212D"/>
    <w:rsid w:val="00A22AA7"/>
    <w:rsid w:val="00A23060"/>
    <w:rsid w:val="00A23689"/>
    <w:rsid w:val="00A26AC4"/>
    <w:rsid w:val="00A26E00"/>
    <w:rsid w:val="00A2777C"/>
    <w:rsid w:val="00A277CE"/>
    <w:rsid w:val="00A31365"/>
    <w:rsid w:val="00A344DA"/>
    <w:rsid w:val="00A352B2"/>
    <w:rsid w:val="00A37A4B"/>
    <w:rsid w:val="00A40EDF"/>
    <w:rsid w:val="00A45237"/>
    <w:rsid w:val="00A45F2B"/>
    <w:rsid w:val="00A4787F"/>
    <w:rsid w:val="00A50574"/>
    <w:rsid w:val="00A51CE5"/>
    <w:rsid w:val="00A52664"/>
    <w:rsid w:val="00A537ED"/>
    <w:rsid w:val="00A54621"/>
    <w:rsid w:val="00A54BAF"/>
    <w:rsid w:val="00A60290"/>
    <w:rsid w:val="00A60582"/>
    <w:rsid w:val="00A60E65"/>
    <w:rsid w:val="00A612CA"/>
    <w:rsid w:val="00A61370"/>
    <w:rsid w:val="00A61DC2"/>
    <w:rsid w:val="00A62E1F"/>
    <w:rsid w:val="00A64A22"/>
    <w:rsid w:val="00A65333"/>
    <w:rsid w:val="00A6553A"/>
    <w:rsid w:val="00A661E0"/>
    <w:rsid w:val="00A67032"/>
    <w:rsid w:val="00A700C7"/>
    <w:rsid w:val="00A70DB5"/>
    <w:rsid w:val="00A72D02"/>
    <w:rsid w:val="00A73461"/>
    <w:rsid w:val="00A75CCC"/>
    <w:rsid w:val="00A81246"/>
    <w:rsid w:val="00A813DD"/>
    <w:rsid w:val="00A81D14"/>
    <w:rsid w:val="00A8308A"/>
    <w:rsid w:val="00A83EEB"/>
    <w:rsid w:val="00A84BC4"/>
    <w:rsid w:val="00A85610"/>
    <w:rsid w:val="00A859C7"/>
    <w:rsid w:val="00A865D0"/>
    <w:rsid w:val="00A904DC"/>
    <w:rsid w:val="00A92169"/>
    <w:rsid w:val="00A92E19"/>
    <w:rsid w:val="00A9381E"/>
    <w:rsid w:val="00A94955"/>
    <w:rsid w:val="00AA1161"/>
    <w:rsid w:val="00AA19B2"/>
    <w:rsid w:val="00AA2BF7"/>
    <w:rsid w:val="00AA45FD"/>
    <w:rsid w:val="00AA4D5F"/>
    <w:rsid w:val="00AA4E03"/>
    <w:rsid w:val="00AA66CF"/>
    <w:rsid w:val="00AA6745"/>
    <w:rsid w:val="00AA68C9"/>
    <w:rsid w:val="00AB0843"/>
    <w:rsid w:val="00AB0A61"/>
    <w:rsid w:val="00AB175E"/>
    <w:rsid w:val="00AB1EB9"/>
    <w:rsid w:val="00AB24F2"/>
    <w:rsid w:val="00AB32D6"/>
    <w:rsid w:val="00AB3685"/>
    <w:rsid w:val="00AB5F49"/>
    <w:rsid w:val="00AB6BF3"/>
    <w:rsid w:val="00AB716C"/>
    <w:rsid w:val="00AB7BCD"/>
    <w:rsid w:val="00AC001C"/>
    <w:rsid w:val="00AC1DB9"/>
    <w:rsid w:val="00AC2C81"/>
    <w:rsid w:val="00AC3768"/>
    <w:rsid w:val="00AC3B0C"/>
    <w:rsid w:val="00AC465E"/>
    <w:rsid w:val="00AC4AF0"/>
    <w:rsid w:val="00AC62C1"/>
    <w:rsid w:val="00AC654B"/>
    <w:rsid w:val="00AC6947"/>
    <w:rsid w:val="00AC6BCC"/>
    <w:rsid w:val="00AC7A15"/>
    <w:rsid w:val="00AD1957"/>
    <w:rsid w:val="00AD2F60"/>
    <w:rsid w:val="00AD4649"/>
    <w:rsid w:val="00AD5610"/>
    <w:rsid w:val="00AD7A3B"/>
    <w:rsid w:val="00AD7C92"/>
    <w:rsid w:val="00AE04B6"/>
    <w:rsid w:val="00AE0AB9"/>
    <w:rsid w:val="00AE1E0A"/>
    <w:rsid w:val="00AE2DC4"/>
    <w:rsid w:val="00AE30AC"/>
    <w:rsid w:val="00AE3305"/>
    <w:rsid w:val="00AE382A"/>
    <w:rsid w:val="00AE4086"/>
    <w:rsid w:val="00AE4116"/>
    <w:rsid w:val="00AE50C0"/>
    <w:rsid w:val="00AE6566"/>
    <w:rsid w:val="00AE6CBB"/>
    <w:rsid w:val="00AE70E2"/>
    <w:rsid w:val="00AE71E9"/>
    <w:rsid w:val="00AE7801"/>
    <w:rsid w:val="00AE7863"/>
    <w:rsid w:val="00AF08EF"/>
    <w:rsid w:val="00AF094C"/>
    <w:rsid w:val="00AF0E43"/>
    <w:rsid w:val="00AF242A"/>
    <w:rsid w:val="00AF2984"/>
    <w:rsid w:val="00AF6394"/>
    <w:rsid w:val="00AF6514"/>
    <w:rsid w:val="00AF6E08"/>
    <w:rsid w:val="00AF7EC4"/>
    <w:rsid w:val="00B02BB4"/>
    <w:rsid w:val="00B03CC6"/>
    <w:rsid w:val="00B03D9B"/>
    <w:rsid w:val="00B0472F"/>
    <w:rsid w:val="00B054C9"/>
    <w:rsid w:val="00B063FF"/>
    <w:rsid w:val="00B07E9A"/>
    <w:rsid w:val="00B118AE"/>
    <w:rsid w:val="00B118CD"/>
    <w:rsid w:val="00B1679A"/>
    <w:rsid w:val="00B20491"/>
    <w:rsid w:val="00B206AE"/>
    <w:rsid w:val="00B2104D"/>
    <w:rsid w:val="00B215AF"/>
    <w:rsid w:val="00B2176A"/>
    <w:rsid w:val="00B2399F"/>
    <w:rsid w:val="00B25790"/>
    <w:rsid w:val="00B26028"/>
    <w:rsid w:val="00B2669B"/>
    <w:rsid w:val="00B266CC"/>
    <w:rsid w:val="00B30BF1"/>
    <w:rsid w:val="00B32DE4"/>
    <w:rsid w:val="00B35E73"/>
    <w:rsid w:val="00B36687"/>
    <w:rsid w:val="00B37078"/>
    <w:rsid w:val="00B37552"/>
    <w:rsid w:val="00B428D3"/>
    <w:rsid w:val="00B45A38"/>
    <w:rsid w:val="00B45AA8"/>
    <w:rsid w:val="00B45FC8"/>
    <w:rsid w:val="00B51979"/>
    <w:rsid w:val="00B54AA7"/>
    <w:rsid w:val="00B55951"/>
    <w:rsid w:val="00B56F70"/>
    <w:rsid w:val="00B56F76"/>
    <w:rsid w:val="00B572C7"/>
    <w:rsid w:val="00B57C74"/>
    <w:rsid w:val="00B57CE6"/>
    <w:rsid w:val="00B6073D"/>
    <w:rsid w:val="00B608FF"/>
    <w:rsid w:val="00B61740"/>
    <w:rsid w:val="00B61E34"/>
    <w:rsid w:val="00B6309D"/>
    <w:rsid w:val="00B6372F"/>
    <w:rsid w:val="00B64B4E"/>
    <w:rsid w:val="00B658A4"/>
    <w:rsid w:val="00B6599F"/>
    <w:rsid w:val="00B66002"/>
    <w:rsid w:val="00B662BA"/>
    <w:rsid w:val="00B71042"/>
    <w:rsid w:val="00B716DB"/>
    <w:rsid w:val="00B74AEA"/>
    <w:rsid w:val="00B7515A"/>
    <w:rsid w:val="00B76FC3"/>
    <w:rsid w:val="00B77CA8"/>
    <w:rsid w:val="00B802E9"/>
    <w:rsid w:val="00B80573"/>
    <w:rsid w:val="00B80BD0"/>
    <w:rsid w:val="00B80EE7"/>
    <w:rsid w:val="00B816FB"/>
    <w:rsid w:val="00B821BB"/>
    <w:rsid w:val="00B833B7"/>
    <w:rsid w:val="00B84E23"/>
    <w:rsid w:val="00B86021"/>
    <w:rsid w:val="00B86416"/>
    <w:rsid w:val="00B865F4"/>
    <w:rsid w:val="00B90C8F"/>
    <w:rsid w:val="00B91221"/>
    <w:rsid w:val="00B9204E"/>
    <w:rsid w:val="00B929C1"/>
    <w:rsid w:val="00B9651F"/>
    <w:rsid w:val="00B971FA"/>
    <w:rsid w:val="00B978BF"/>
    <w:rsid w:val="00BA11EC"/>
    <w:rsid w:val="00BA17AE"/>
    <w:rsid w:val="00BA1A5D"/>
    <w:rsid w:val="00BA2C4F"/>
    <w:rsid w:val="00BA65FD"/>
    <w:rsid w:val="00BA6D28"/>
    <w:rsid w:val="00BA75F9"/>
    <w:rsid w:val="00BB0C12"/>
    <w:rsid w:val="00BB0D41"/>
    <w:rsid w:val="00BB2283"/>
    <w:rsid w:val="00BB24BE"/>
    <w:rsid w:val="00BB2A0E"/>
    <w:rsid w:val="00BB3C06"/>
    <w:rsid w:val="00BB42B7"/>
    <w:rsid w:val="00BB5134"/>
    <w:rsid w:val="00BB528E"/>
    <w:rsid w:val="00BB61F4"/>
    <w:rsid w:val="00BB632B"/>
    <w:rsid w:val="00BB6D59"/>
    <w:rsid w:val="00BB7061"/>
    <w:rsid w:val="00BB7329"/>
    <w:rsid w:val="00BB78B1"/>
    <w:rsid w:val="00BB7F39"/>
    <w:rsid w:val="00BC079B"/>
    <w:rsid w:val="00BC0AE3"/>
    <w:rsid w:val="00BC27F4"/>
    <w:rsid w:val="00BC3C84"/>
    <w:rsid w:val="00BC3E15"/>
    <w:rsid w:val="00BC5286"/>
    <w:rsid w:val="00BC6739"/>
    <w:rsid w:val="00BC7593"/>
    <w:rsid w:val="00BD1033"/>
    <w:rsid w:val="00BD1B7A"/>
    <w:rsid w:val="00BD54F9"/>
    <w:rsid w:val="00BD55BA"/>
    <w:rsid w:val="00BD7AE5"/>
    <w:rsid w:val="00BE1426"/>
    <w:rsid w:val="00BE2ABD"/>
    <w:rsid w:val="00BE4D6C"/>
    <w:rsid w:val="00BE59B8"/>
    <w:rsid w:val="00BE5B1D"/>
    <w:rsid w:val="00BE5E37"/>
    <w:rsid w:val="00BE6373"/>
    <w:rsid w:val="00BE7A20"/>
    <w:rsid w:val="00BF00A7"/>
    <w:rsid w:val="00BF1773"/>
    <w:rsid w:val="00BF1B27"/>
    <w:rsid w:val="00BF227D"/>
    <w:rsid w:val="00BF4EE6"/>
    <w:rsid w:val="00BF606A"/>
    <w:rsid w:val="00BF6360"/>
    <w:rsid w:val="00BF79C9"/>
    <w:rsid w:val="00C00600"/>
    <w:rsid w:val="00C0175C"/>
    <w:rsid w:val="00C01D0F"/>
    <w:rsid w:val="00C0757C"/>
    <w:rsid w:val="00C0768F"/>
    <w:rsid w:val="00C118CA"/>
    <w:rsid w:val="00C11A07"/>
    <w:rsid w:val="00C11D6A"/>
    <w:rsid w:val="00C1439F"/>
    <w:rsid w:val="00C16669"/>
    <w:rsid w:val="00C17D97"/>
    <w:rsid w:val="00C207DA"/>
    <w:rsid w:val="00C20F67"/>
    <w:rsid w:val="00C21F43"/>
    <w:rsid w:val="00C2555E"/>
    <w:rsid w:val="00C26095"/>
    <w:rsid w:val="00C269F3"/>
    <w:rsid w:val="00C2779F"/>
    <w:rsid w:val="00C27D3C"/>
    <w:rsid w:val="00C31534"/>
    <w:rsid w:val="00C32397"/>
    <w:rsid w:val="00C32940"/>
    <w:rsid w:val="00C369DF"/>
    <w:rsid w:val="00C41B14"/>
    <w:rsid w:val="00C437D8"/>
    <w:rsid w:val="00C45272"/>
    <w:rsid w:val="00C4577E"/>
    <w:rsid w:val="00C45FEF"/>
    <w:rsid w:val="00C47FEB"/>
    <w:rsid w:val="00C51D6A"/>
    <w:rsid w:val="00C5249A"/>
    <w:rsid w:val="00C54027"/>
    <w:rsid w:val="00C54716"/>
    <w:rsid w:val="00C54F41"/>
    <w:rsid w:val="00C54F6B"/>
    <w:rsid w:val="00C56B01"/>
    <w:rsid w:val="00C57807"/>
    <w:rsid w:val="00C61FED"/>
    <w:rsid w:val="00C629AA"/>
    <w:rsid w:val="00C62C29"/>
    <w:rsid w:val="00C6331E"/>
    <w:rsid w:val="00C6513C"/>
    <w:rsid w:val="00C657DD"/>
    <w:rsid w:val="00C65AB1"/>
    <w:rsid w:val="00C66998"/>
    <w:rsid w:val="00C67E89"/>
    <w:rsid w:val="00C7053D"/>
    <w:rsid w:val="00C7322F"/>
    <w:rsid w:val="00C735A1"/>
    <w:rsid w:val="00C75980"/>
    <w:rsid w:val="00C763D4"/>
    <w:rsid w:val="00C77019"/>
    <w:rsid w:val="00C82A21"/>
    <w:rsid w:val="00C85B02"/>
    <w:rsid w:val="00C86659"/>
    <w:rsid w:val="00C86679"/>
    <w:rsid w:val="00C875C0"/>
    <w:rsid w:val="00C87820"/>
    <w:rsid w:val="00C9207A"/>
    <w:rsid w:val="00C92579"/>
    <w:rsid w:val="00CA1B1E"/>
    <w:rsid w:val="00CA1D1F"/>
    <w:rsid w:val="00CA3A9E"/>
    <w:rsid w:val="00CA4157"/>
    <w:rsid w:val="00CA492C"/>
    <w:rsid w:val="00CA49EC"/>
    <w:rsid w:val="00CA4C41"/>
    <w:rsid w:val="00CA5AD6"/>
    <w:rsid w:val="00CA75D0"/>
    <w:rsid w:val="00CA7F58"/>
    <w:rsid w:val="00CB17D7"/>
    <w:rsid w:val="00CB2440"/>
    <w:rsid w:val="00CB2459"/>
    <w:rsid w:val="00CB384D"/>
    <w:rsid w:val="00CB3F39"/>
    <w:rsid w:val="00CB5230"/>
    <w:rsid w:val="00CB57EA"/>
    <w:rsid w:val="00CB6127"/>
    <w:rsid w:val="00CB6F24"/>
    <w:rsid w:val="00CB7A46"/>
    <w:rsid w:val="00CB7B5E"/>
    <w:rsid w:val="00CC0599"/>
    <w:rsid w:val="00CC07A8"/>
    <w:rsid w:val="00CC0DA4"/>
    <w:rsid w:val="00CC1EC0"/>
    <w:rsid w:val="00CC2FF0"/>
    <w:rsid w:val="00CC4AFC"/>
    <w:rsid w:val="00CC62DB"/>
    <w:rsid w:val="00CD098A"/>
    <w:rsid w:val="00CD0C2D"/>
    <w:rsid w:val="00CD13A1"/>
    <w:rsid w:val="00CD2896"/>
    <w:rsid w:val="00CD49EB"/>
    <w:rsid w:val="00CD6BAE"/>
    <w:rsid w:val="00CD7587"/>
    <w:rsid w:val="00CE02B0"/>
    <w:rsid w:val="00CE1B00"/>
    <w:rsid w:val="00CE1C81"/>
    <w:rsid w:val="00CE1DDD"/>
    <w:rsid w:val="00CE200F"/>
    <w:rsid w:val="00CE20CE"/>
    <w:rsid w:val="00CE216E"/>
    <w:rsid w:val="00CE2B77"/>
    <w:rsid w:val="00CE2D9D"/>
    <w:rsid w:val="00CE2DBC"/>
    <w:rsid w:val="00CE3712"/>
    <w:rsid w:val="00CE3A71"/>
    <w:rsid w:val="00CE465A"/>
    <w:rsid w:val="00CE5216"/>
    <w:rsid w:val="00CE5370"/>
    <w:rsid w:val="00CE6FE1"/>
    <w:rsid w:val="00CF0E90"/>
    <w:rsid w:val="00CF2F18"/>
    <w:rsid w:val="00CF2F48"/>
    <w:rsid w:val="00CF31CF"/>
    <w:rsid w:val="00CF4AB9"/>
    <w:rsid w:val="00CF54B3"/>
    <w:rsid w:val="00CF5B0C"/>
    <w:rsid w:val="00CF5BFC"/>
    <w:rsid w:val="00CF645E"/>
    <w:rsid w:val="00CF7594"/>
    <w:rsid w:val="00CF7839"/>
    <w:rsid w:val="00D004F7"/>
    <w:rsid w:val="00D0058A"/>
    <w:rsid w:val="00D03BC7"/>
    <w:rsid w:val="00D04CB2"/>
    <w:rsid w:val="00D06303"/>
    <w:rsid w:val="00D06E35"/>
    <w:rsid w:val="00D079CF"/>
    <w:rsid w:val="00D07A9C"/>
    <w:rsid w:val="00D10CCA"/>
    <w:rsid w:val="00D111A2"/>
    <w:rsid w:val="00D11A09"/>
    <w:rsid w:val="00D11A5C"/>
    <w:rsid w:val="00D1366C"/>
    <w:rsid w:val="00D13A2E"/>
    <w:rsid w:val="00D14AEC"/>
    <w:rsid w:val="00D14EFB"/>
    <w:rsid w:val="00D15AF2"/>
    <w:rsid w:val="00D17575"/>
    <w:rsid w:val="00D17CDE"/>
    <w:rsid w:val="00D20D21"/>
    <w:rsid w:val="00D20EA8"/>
    <w:rsid w:val="00D216DF"/>
    <w:rsid w:val="00D21865"/>
    <w:rsid w:val="00D222CD"/>
    <w:rsid w:val="00D2293E"/>
    <w:rsid w:val="00D22D65"/>
    <w:rsid w:val="00D24A40"/>
    <w:rsid w:val="00D32E5B"/>
    <w:rsid w:val="00D34359"/>
    <w:rsid w:val="00D362FB"/>
    <w:rsid w:val="00D36A0D"/>
    <w:rsid w:val="00D36AA2"/>
    <w:rsid w:val="00D3728F"/>
    <w:rsid w:val="00D37DAC"/>
    <w:rsid w:val="00D4059B"/>
    <w:rsid w:val="00D41413"/>
    <w:rsid w:val="00D4161A"/>
    <w:rsid w:val="00D44B10"/>
    <w:rsid w:val="00D4604C"/>
    <w:rsid w:val="00D46CC3"/>
    <w:rsid w:val="00D4718B"/>
    <w:rsid w:val="00D5057F"/>
    <w:rsid w:val="00D525EE"/>
    <w:rsid w:val="00D52E34"/>
    <w:rsid w:val="00D5536F"/>
    <w:rsid w:val="00D5698A"/>
    <w:rsid w:val="00D61420"/>
    <w:rsid w:val="00D616FC"/>
    <w:rsid w:val="00D621B0"/>
    <w:rsid w:val="00D64D39"/>
    <w:rsid w:val="00D65A37"/>
    <w:rsid w:val="00D67DA1"/>
    <w:rsid w:val="00D703C9"/>
    <w:rsid w:val="00D725BA"/>
    <w:rsid w:val="00D72A92"/>
    <w:rsid w:val="00D72DAD"/>
    <w:rsid w:val="00D73081"/>
    <w:rsid w:val="00D75508"/>
    <w:rsid w:val="00D75655"/>
    <w:rsid w:val="00D75ACD"/>
    <w:rsid w:val="00D75BDE"/>
    <w:rsid w:val="00D7632B"/>
    <w:rsid w:val="00D76437"/>
    <w:rsid w:val="00D77AA8"/>
    <w:rsid w:val="00D77D11"/>
    <w:rsid w:val="00D8197E"/>
    <w:rsid w:val="00D836DC"/>
    <w:rsid w:val="00D83D24"/>
    <w:rsid w:val="00D86908"/>
    <w:rsid w:val="00D87A7D"/>
    <w:rsid w:val="00D87CB1"/>
    <w:rsid w:val="00D9149E"/>
    <w:rsid w:val="00D91D21"/>
    <w:rsid w:val="00D91EF0"/>
    <w:rsid w:val="00D92620"/>
    <w:rsid w:val="00D93228"/>
    <w:rsid w:val="00D93AAC"/>
    <w:rsid w:val="00D93F29"/>
    <w:rsid w:val="00D94F08"/>
    <w:rsid w:val="00D960AB"/>
    <w:rsid w:val="00D97512"/>
    <w:rsid w:val="00DA0D02"/>
    <w:rsid w:val="00DA252E"/>
    <w:rsid w:val="00DA40DD"/>
    <w:rsid w:val="00DA486A"/>
    <w:rsid w:val="00DA49D1"/>
    <w:rsid w:val="00DA602D"/>
    <w:rsid w:val="00DA60E9"/>
    <w:rsid w:val="00DA7154"/>
    <w:rsid w:val="00DA73B2"/>
    <w:rsid w:val="00DA7902"/>
    <w:rsid w:val="00DB02A8"/>
    <w:rsid w:val="00DB0BC9"/>
    <w:rsid w:val="00DB0D34"/>
    <w:rsid w:val="00DB1330"/>
    <w:rsid w:val="00DB14CB"/>
    <w:rsid w:val="00DB3404"/>
    <w:rsid w:val="00DB3553"/>
    <w:rsid w:val="00DB503B"/>
    <w:rsid w:val="00DB54CC"/>
    <w:rsid w:val="00DB6FE5"/>
    <w:rsid w:val="00DB7668"/>
    <w:rsid w:val="00DC0AAB"/>
    <w:rsid w:val="00DC0E36"/>
    <w:rsid w:val="00DC238C"/>
    <w:rsid w:val="00DC3831"/>
    <w:rsid w:val="00DC39B3"/>
    <w:rsid w:val="00DC3F3D"/>
    <w:rsid w:val="00DD065E"/>
    <w:rsid w:val="00DD2A47"/>
    <w:rsid w:val="00DD5540"/>
    <w:rsid w:val="00DE1C3A"/>
    <w:rsid w:val="00DE1DED"/>
    <w:rsid w:val="00DE251E"/>
    <w:rsid w:val="00DE4703"/>
    <w:rsid w:val="00DE507D"/>
    <w:rsid w:val="00DE5651"/>
    <w:rsid w:val="00DE5AEB"/>
    <w:rsid w:val="00DE5E2A"/>
    <w:rsid w:val="00DE5EF8"/>
    <w:rsid w:val="00DE674E"/>
    <w:rsid w:val="00DE67B4"/>
    <w:rsid w:val="00DE7288"/>
    <w:rsid w:val="00DF2C42"/>
    <w:rsid w:val="00DF5DE7"/>
    <w:rsid w:val="00DF76E9"/>
    <w:rsid w:val="00E00286"/>
    <w:rsid w:val="00E00E52"/>
    <w:rsid w:val="00E01823"/>
    <w:rsid w:val="00E01C7A"/>
    <w:rsid w:val="00E04424"/>
    <w:rsid w:val="00E054ED"/>
    <w:rsid w:val="00E0617D"/>
    <w:rsid w:val="00E078CC"/>
    <w:rsid w:val="00E11130"/>
    <w:rsid w:val="00E12734"/>
    <w:rsid w:val="00E1760F"/>
    <w:rsid w:val="00E202A5"/>
    <w:rsid w:val="00E21AB6"/>
    <w:rsid w:val="00E21E45"/>
    <w:rsid w:val="00E23021"/>
    <w:rsid w:val="00E230CB"/>
    <w:rsid w:val="00E2357B"/>
    <w:rsid w:val="00E24EB8"/>
    <w:rsid w:val="00E2608F"/>
    <w:rsid w:val="00E26350"/>
    <w:rsid w:val="00E272CE"/>
    <w:rsid w:val="00E27D79"/>
    <w:rsid w:val="00E316D5"/>
    <w:rsid w:val="00E3208D"/>
    <w:rsid w:val="00E32BB3"/>
    <w:rsid w:val="00E342F6"/>
    <w:rsid w:val="00E34EA8"/>
    <w:rsid w:val="00E34ED7"/>
    <w:rsid w:val="00E353C4"/>
    <w:rsid w:val="00E3614F"/>
    <w:rsid w:val="00E363C2"/>
    <w:rsid w:val="00E36CF4"/>
    <w:rsid w:val="00E3722A"/>
    <w:rsid w:val="00E402BD"/>
    <w:rsid w:val="00E402FA"/>
    <w:rsid w:val="00E4103F"/>
    <w:rsid w:val="00E41245"/>
    <w:rsid w:val="00E433EF"/>
    <w:rsid w:val="00E43C84"/>
    <w:rsid w:val="00E45DF4"/>
    <w:rsid w:val="00E47CDC"/>
    <w:rsid w:val="00E50C19"/>
    <w:rsid w:val="00E54349"/>
    <w:rsid w:val="00E56170"/>
    <w:rsid w:val="00E57F68"/>
    <w:rsid w:val="00E60A88"/>
    <w:rsid w:val="00E615E4"/>
    <w:rsid w:val="00E61B66"/>
    <w:rsid w:val="00E61DD7"/>
    <w:rsid w:val="00E62979"/>
    <w:rsid w:val="00E64A86"/>
    <w:rsid w:val="00E6641C"/>
    <w:rsid w:val="00E67B09"/>
    <w:rsid w:val="00E67C5B"/>
    <w:rsid w:val="00E720DB"/>
    <w:rsid w:val="00E7318C"/>
    <w:rsid w:val="00E812D6"/>
    <w:rsid w:val="00E81EBA"/>
    <w:rsid w:val="00E83182"/>
    <w:rsid w:val="00E83792"/>
    <w:rsid w:val="00E84716"/>
    <w:rsid w:val="00E858D3"/>
    <w:rsid w:val="00E86911"/>
    <w:rsid w:val="00E86C3B"/>
    <w:rsid w:val="00E87183"/>
    <w:rsid w:val="00E912DB"/>
    <w:rsid w:val="00E915ED"/>
    <w:rsid w:val="00E92D2E"/>
    <w:rsid w:val="00E93168"/>
    <w:rsid w:val="00E93418"/>
    <w:rsid w:val="00E96526"/>
    <w:rsid w:val="00E9695D"/>
    <w:rsid w:val="00EA1648"/>
    <w:rsid w:val="00EA255C"/>
    <w:rsid w:val="00EA328A"/>
    <w:rsid w:val="00EA43BC"/>
    <w:rsid w:val="00EA74DD"/>
    <w:rsid w:val="00EB0019"/>
    <w:rsid w:val="00EB0088"/>
    <w:rsid w:val="00EB00CC"/>
    <w:rsid w:val="00EB18F3"/>
    <w:rsid w:val="00EB23E7"/>
    <w:rsid w:val="00EB3902"/>
    <w:rsid w:val="00EB3BF2"/>
    <w:rsid w:val="00EB5A59"/>
    <w:rsid w:val="00EB698D"/>
    <w:rsid w:val="00EB7504"/>
    <w:rsid w:val="00EC10AB"/>
    <w:rsid w:val="00EC2C5D"/>
    <w:rsid w:val="00EC2D74"/>
    <w:rsid w:val="00EC41DC"/>
    <w:rsid w:val="00EC4843"/>
    <w:rsid w:val="00EC67A8"/>
    <w:rsid w:val="00ED219D"/>
    <w:rsid w:val="00ED2494"/>
    <w:rsid w:val="00ED304E"/>
    <w:rsid w:val="00ED4615"/>
    <w:rsid w:val="00ED4A6B"/>
    <w:rsid w:val="00EE004B"/>
    <w:rsid w:val="00EE073A"/>
    <w:rsid w:val="00EE1CEF"/>
    <w:rsid w:val="00EE4FB5"/>
    <w:rsid w:val="00EE4FDE"/>
    <w:rsid w:val="00EE580C"/>
    <w:rsid w:val="00EE5851"/>
    <w:rsid w:val="00EE6C20"/>
    <w:rsid w:val="00EF024E"/>
    <w:rsid w:val="00EF02C7"/>
    <w:rsid w:val="00EF10CE"/>
    <w:rsid w:val="00EF210E"/>
    <w:rsid w:val="00EF2326"/>
    <w:rsid w:val="00EF5718"/>
    <w:rsid w:val="00EF5919"/>
    <w:rsid w:val="00EF5B87"/>
    <w:rsid w:val="00EF67AF"/>
    <w:rsid w:val="00EF743C"/>
    <w:rsid w:val="00EF7B7E"/>
    <w:rsid w:val="00F00371"/>
    <w:rsid w:val="00F040AB"/>
    <w:rsid w:val="00F05700"/>
    <w:rsid w:val="00F0578C"/>
    <w:rsid w:val="00F061C1"/>
    <w:rsid w:val="00F10844"/>
    <w:rsid w:val="00F11510"/>
    <w:rsid w:val="00F151D0"/>
    <w:rsid w:val="00F154CF"/>
    <w:rsid w:val="00F15746"/>
    <w:rsid w:val="00F15962"/>
    <w:rsid w:val="00F209F4"/>
    <w:rsid w:val="00F23100"/>
    <w:rsid w:val="00F23B50"/>
    <w:rsid w:val="00F2401C"/>
    <w:rsid w:val="00F24181"/>
    <w:rsid w:val="00F254A0"/>
    <w:rsid w:val="00F267F7"/>
    <w:rsid w:val="00F3066E"/>
    <w:rsid w:val="00F32112"/>
    <w:rsid w:val="00F3297A"/>
    <w:rsid w:val="00F3407F"/>
    <w:rsid w:val="00F35CA6"/>
    <w:rsid w:val="00F36924"/>
    <w:rsid w:val="00F379A0"/>
    <w:rsid w:val="00F37EDC"/>
    <w:rsid w:val="00F4054B"/>
    <w:rsid w:val="00F4067B"/>
    <w:rsid w:val="00F422C9"/>
    <w:rsid w:val="00F4279B"/>
    <w:rsid w:val="00F429E4"/>
    <w:rsid w:val="00F435E4"/>
    <w:rsid w:val="00F439FE"/>
    <w:rsid w:val="00F4517D"/>
    <w:rsid w:val="00F455B1"/>
    <w:rsid w:val="00F46353"/>
    <w:rsid w:val="00F47A79"/>
    <w:rsid w:val="00F50458"/>
    <w:rsid w:val="00F50A24"/>
    <w:rsid w:val="00F51842"/>
    <w:rsid w:val="00F533ED"/>
    <w:rsid w:val="00F53A3A"/>
    <w:rsid w:val="00F53FA3"/>
    <w:rsid w:val="00F55315"/>
    <w:rsid w:val="00F57456"/>
    <w:rsid w:val="00F579E2"/>
    <w:rsid w:val="00F60AC1"/>
    <w:rsid w:val="00F6251C"/>
    <w:rsid w:val="00F71C6A"/>
    <w:rsid w:val="00F72A08"/>
    <w:rsid w:val="00F74097"/>
    <w:rsid w:val="00F74B36"/>
    <w:rsid w:val="00F759D6"/>
    <w:rsid w:val="00F7648A"/>
    <w:rsid w:val="00F76905"/>
    <w:rsid w:val="00F7743A"/>
    <w:rsid w:val="00F778A5"/>
    <w:rsid w:val="00F832D5"/>
    <w:rsid w:val="00F8491E"/>
    <w:rsid w:val="00F85CB9"/>
    <w:rsid w:val="00F85D7F"/>
    <w:rsid w:val="00F85E52"/>
    <w:rsid w:val="00F907FE"/>
    <w:rsid w:val="00F9146C"/>
    <w:rsid w:val="00F91529"/>
    <w:rsid w:val="00F91E0C"/>
    <w:rsid w:val="00F91F81"/>
    <w:rsid w:val="00F92C7F"/>
    <w:rsid w:val="00F94FA9"/>
    <w:rsid w:val="00F95366"/>
    <w:rsid w:val="00F95C25"/>
    <w:rsid w:val="00F96A1C"/>
    <w:rsid w:val="00FA0ABF"/>
    <w:rsid w:val="00FA0F07"/>
    <w:rsid w:val="00FA3734"/>
    <w:rsid w:val="00FA3AA3"/>
    <w:rsid w:val="00FA4D10"/>
    <w:rsid w:val="00FA5AB1"/>
    <w:rsid w:val="00FA6EA8"/>
    <w:rsid w:val="00FA6F70"/>
    <w:rsid w:val="00FA785E"/>
    <w:rsid w:val="00FA7922"/>
    <w:rsid w:val="00FB0F93"/>
    <w:rsid w:val="00FB1A40"/>
    <w:rsid w:val="00FB38F5"/>
    <w:rsid w:val="00FB6BE8"/>
    <w:rsid w:val="00FC501A"/>
    <w:rsid w:val="00FC5910"/>
    <w:rsid w:val="00FD12FF"/>
    <w:rsid w:val="00FD1D6E"/>
    <w:rsid w:val="00FD2F4C"/>
    <w:rsid w:val="00FD345D"/>
    <w:rsid w:val="00FD39A0"/>
    <w:rsid w:val="00FD58BD"/>
    <w:rsid w:val="00FD6F7B"/>
    <w:rsid w:val="00FD79E5"/>
    <w:rsid w:val="00FE1A43"/>
    <w:rsid w:val="00FE291F"/>
    <w:rsid w:val="00FE2E5A"/>
    <w:rsid w:val="00FE3CFA"/>
    <w:rsid w:val="00FE5204"/>
    <w:rsid w:val="00FE6390"/>
    <w:rsid w:val="00FF0247"/>
    <w:rsid w:val="00FF2E5B"/>
    <w:rsid w:val="00FF309A"/>
    <w:rsid w:val="00FF326C"/>
    <w:rsid w:val="00FF3C17"/>
    <w:rsid w:val="00FF3D98"/>
    <w:rsid w:val="00FF4D92"/>
    <w:rsid w:val="00FF6144"/>
    <w:rsid w:val="00FF6382"/>
    <w:rsid w:val="00FF6391"/>
    <w:rsid w:val="0CA7DC01"/>
    <w:rsid w:val="0E3D863F"/>
    <w:rsid w:val="0E90F57E"/>
    <w:rsid w:val="17CB4028"/>
    <w:rsid w:val="1EDEDB2A"/>
    <w:rsid w:val="27E95178"/>
    <w:rsid w:val="298521D9"/>
    <w:rsid w:val="379FCEBB"/>
    <w:rsid w:val="48EAD023"/>
    <w:rsid w:val="6437CF3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7B676"/>
  <w15:docId w15:val="{522EDB5A-5A24-49D2-B694-8D4F1333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61AE"/>
    <w:pPr>
      <w:widowControl w:val="0"/>
      <w:autoSpaceDE w:val="0"/>
      <w:autoSpaceDN w:val="0"/>
      <w:adjustRightInd w:val="0"/>
      <w:spacing w:line="360" w:lineRule="auto"/>
    </w:pPr>
    <w:rPr>
      <w:rFonts w:eastAsiaTheme="minorEastAsia" w:cs="Arial"/>
      <w:sz w:val="24"/>
      <w:lang w:eastAsia="pl-PL"/>
    </w:rPr>
  </w:style>
  <w:style w:type="paragraph" w:styleId="Nagwek1">
    <w:name w:val="heading 1"/>
    <w:basedOn w:val="Normalny"/>
    <w:next w:val="Normalny"/>
    <w:link w:val="Nagwek1Znak"/>
    <w:qFormat/>
    <w:rsid w:val="00900A2B"/>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0A2B"/>
    <w:rPr>
      <w:rFonts w:asciiTheme="majorHAnsi" w:eastAsiaTheme="majorEastAsia" w:hAnsiTheme="majorHAnsi" w:cstheme="majorBidi"/>
      <w:b/>
      <w:bCs/>
      <w:kern w:val="32"/>
      <w:sz w:val="32"/>
      <w:szCs w:val="32"/>
      <w:lang w:eastAsia="pl-PL"/>
    </w:rPr>
  </w:style>
  <w:style w:type="character" w:styleId="Odwoanieprzypisudolnego">
    <w:name w:val="footnote reference"/>
    <w:rsid w:val="000261AE"/>
    <w:rPr>
      <w:rFonts w:cs="Times New Roman"/>
      <w:vertAlign w:val="superscript"/>
    </w:rPr>
  </w:style>
  <w:style w:type="paragraph" w:styleId="Nagwek">
    <w:name w:val="header"/>
    <w:basedOn w:val="Normalny"/>
    <w:link w:val="NagwekZnak"/>
    <w:uiPriority w:val="99"/>
    <w:semiHidden/>
    <w:rsid w:val="000261AE"/>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0261AE"/>
    <w:rPr>
      <w:rFonts w:ascii="Times" w:hAnsi="Times"/>
      <w:kern w:val="1"/>
      <w:sz w:val="24"/>
      <w:szCs w:val="24"/>
      <w:lang w:eastAsia="ar-SA"/>
    </w:rPr>
  </w:style>
  <w:style w:type="paragraph" w:customStyle="1" w:styleId="ARTartustawynprozporzdzenia">
    <w:name w:val="ART(§) – art. ustawy (§ np. rozporządzenia)"/>
    <w:uiPriority w:val="11"/>
    <w:qFormat/>
    <w:rsid w:val="000261AE"/>
    <w:pPr>
      <w:suppressAutoHyphens/>
      <w:autoSpaceDE w:val="0"/>
      <w:autoSpaceDN w:val="0"/>
      <w:adjustRightInd w:val="0"/>
      <w:spacing w:before="120" w:line="360" w:lineRule="auto"/>
      <w:ind w:firstLine="510"/>
      <w:jc w:val="both"/>
    </w:pPr>
    <w:rPr>
      <w:rFonts w:ascii="Times" w:eastAsiaTheme="minorEastAsia" w:hAnsi="Times" w:cs="Arial"/>
      <w:sz w:val="24"/>
      <w:lang w:eastAsia="pl-PL"/>
    </w:rPr>
  </w:style>
  <w:style w:type="paragraph" w:customStyle="1" w:styleId="DATAAKTUdatauchwalenialubwydaniaaktu">
    <w:name w:val="DATA_AKTU – data uchwalenia lub wydania aktu"/>
    <w:next w:val="TYTUAKTUprzedmiotregulacjiustawylubrozporzdzenia"/>
    <w:uiPriority w:val="6"/>
    <w:qFormat/>
    <w:rsid w:val="000261AE"/>
    <w:pPr>
      <w:keepNext/>
      <w:suppressAutoHyphens/>
      <w:spacing w:before="120" w:after="120" w:line="360" w:lineRule="auto"/>
      <w:jc w:val="center"/>
    </w:pPr>
    <w:rPr>
      <w:rFonts w:ascii="Times" w:eastAsiaTheme="minorEastAsia" w:hAnsi="Times" w:cs="Arial"/>
      <w:bCs/>
      <w:sz w:val="24"/>
      <w:szCs w:val="24"/>
      <w:lang w:eastAsia="pl-PL"/>
    </w:rPr>
  </w:style>
  <w:style w:type="paragraph" w:customStyle="1" w:styleId="TYTUAKTUprzedmiotregulacjiustawylubrozporzdzenia">
    <w:name w:val="TYTUŁ_AKTU – przedmiot regulacji ustawy lub rozporządzenia"/>
    <w:next w:val="ARTartustawynprozporzdzenia"/>
    <w:uiPriority w:val="6"/>
    <w:qFormat/>
    <w:rsid w:val="000261AE"/>
    <w:pPr>
      <w:keepNext/>
      <w:suppressAutoHyphens/>
      <w:spacing w:before="120" w:after="360" w:line="360" w:lineRule="auto"/>
      <w:jc w:val="center"/>
    </w:pPr>
    <w:rPr>
      <w:rFonts w:ascii="Times" w:eastAsiaTheme="minorEastAsia" w:hAnsi="Times" w:cs="Arial"/>
      <w:b/>
      <w:bCs/>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0261AE"/>
    <w:rPr>
      <w:bCs/>
    </w:rPr>
  </w:style>
  <w:style w:type="paragraph" w:customStyle="1" w:styleId="OZNRODZAKTUtznustawalubrozporzdzenieiorganwydajcy">
    <w:name w:val="OZN_RODZ_AKTU – tzn. ustawa lub rozporządzenie i organ wydający"/>
    <w:next w:val="DATAAKTUdatauchwalenialubwydaniaaktu"/>
    <w:uiPriority w:val="5"/>
    <w:qFormat/>
    <w:rsid w:val="000261AE"/>
    <w:pPr>
      <w:keepNext/>
      <w:suppressAutoHyphens/>
      <w:spacing w:after="120" w:line="360" w:lineRule="auto"/>
      <w:jc w:val="center"/>
    </w:pPr>
    <w:rPr>
      <w:rFonts w:ascii="Times" w:hAnsi="Times"/>
      <w:b/>
      <w:bCs/>
      <w:caps/>
      <w:spacing w:val="54"/>
      <w:kern w:val="24"/>
      <w:sz w:val="24"/>
      <w:szCs w:val="24"/>
      <w:lang w:eastAsia="pl-PL"/>
    </w:rPr>
  </w:style>
  <w:style w:type="paragraph" w:customStyle="1" w:styleId="USTustnpkodeksu">
    <w:name w:val="UST(§) – ust. (§ np. kodeksu)"/>
    <w:basedOn w:val="ARTartustawynprozporzdzenia"/>
    <w:uiPriority w:val="12"/>
    <w:qFormat/>
    <w:rsid w:val="000261AE"/>
    <w:pPr>
      <w:spacing w:before="0"/>
    </w:pPr>
    <w:rPr>
      <w:bCs/>
    </w:rPr>
  </w:style>
  <w:style w:type="paragraph" w:customStyle="1" w:styleId="PKTpunkt">
    <w:name w:val="PKT – punkt"/>
    <w:uiPriority w:val="13"/>
    <w:qFormat/>
    <w:rsid w:val="000261AE"/>
    <w:pPr>
      <w:spacing w:line="360" w:lineRule="auto"/>
      <w:ind w:left="510" w:hanging="510"/>
      <w:jc w:val="both"/>
    </w:pPr>
    <w:rPr>
      <w:rFonts w:ascii="Times" w:eastAsiaTheme="minorEastAsia" w:hAnsi="Times" w:cs="Arial"/>
      <w:bCs/>
      <w:sz w:val="24"/>
      <w:lang w:eastAsia="pl-PL"/>
    </w:rPr>
  </w:style>
  <w:style w:type="paragraph" w:customStyle="1" w:styleId="LITlitera">
    <w:name w:val="LIT – litera"/>
    <w:basedOn w:val="PKTpunkt"/>
    <w:uiPriority w:val="14"/>
    <w:qFormat/>
    <w:rsid w:val="000261AE"/>
    <w:pPr>
      <w:ind w:left="986" w:hanging="476"/>
    </w:pPr>
  </w:style>
  <w:style w:type="paragraph" w:customStyle="1" w:styleId="TIRtiret">
    <w:name w:val="TIR – tiret"/>
    <w:basedOn w:val="LITlitera"/>
    <w:uiPriority w:val="15"/>
    <w:qFormat/>
    <w:rsid w:val="000261AE"/>
    <w:pPr>
      <w:ind w:left="1384" w:hanging="397"/>
    </w:pPr>
  </w:style>
  <w:style w:type="paragraph" w:customStyle="1" w:styleId="ROZDZODDZPRZEDMprzedmiotregulacjirozdziauluboddziau">
    <w:name w:val="ROZDZ(ODDZ)_PRZEDM – przedmiot regulacji rozdziału lub oddziału"/>
    <w:next w:val="ARTartustawynprozporzdzenia"/>
    <w:uiPriority w:val="10"/>
    <w:qFormat/>
    <w:rsid w:val="000261AE"/>
    <w:pPr>
      <w:keepNext/>
      <w:suppressAutoHyphens/>
      <w:spacing w:before="120" w:line="360" w:lineRule="auto"/>
      <w:jc w:val="center"/>
    </w:pPr>
    <w:rPr>
      <w:rFonts w:ascii="Times" w:eastAsiaTheme="minorEastAsia" w:hAnsi="Times"/>
      <w:b/>
      <w:bCs/>
      <w:sz w:val="24"/>
      <w:szCs w:val="24"/>
      <w:lang w:eastAsia="pl-PL"/>
    </w:rPr>
  </w:style>
  <w:style w:type="paragraph" w:customStyle="1" w:styleId="ODNONIKtreodnonika">
    <w:name w:val="ODNOŚNIK – treść odnośnika"/>
    <w:qFormat/>
    <w:rsid w:val="000261AE"/>
    <w:pPr>
      <w:ind w:left="284" w:hanging="284"/>
      <w:jc w:val="both"/>
    </w:pPr>
    <w:rPr>
      <w:rFonts w:eastAsiaTheme="minorEastAsia" w:cs="Arial"/>
      <w:lang w:eastAsia="pl-PL"/>
    </w:rPr>
  </w:style>
  <w:style w:type="paragraph" w:customStyle="1" w:styleId="ROZDZODDZOZNoznaczenierozdziauluboddziau">
    <w:name w:val="ROZDZ(ODDZ)_OZN – oznaczenie rozdziału lub oddziału"/>
    <w:next w:val="ARTartustawynprozporzdzenia"/>
    <w:uiPriority w:val="10"/>
    <w:qFormat/>
    <w:rsid w:val="000261AE"/>
    <w:pPr>
      <w:keepNext/>
      <w:suppressAutoHyphens/>
      <w:spacing w:before="120" w:line="360" w:lineRule="auto"/>
      <w:jc w:val="center"/>
    </w:pPr>
    <w:rPr>
      <w:rFonts w:ascii="Times" w:eastAsiaTheme="minorEastAsia" w:hAnsi="Times" w:cs="Arial"/>
      <w:bCs/>
      <w:kern w:val="24"/>
      <w:sz w:val="24"/>
      <w:szCs w:val="24"/>
      <w:lang w:eastAsia="pl-PL"/>
    </w:rPr>
  </w:style>
  <w:style w:type="paragraph" w:customStyle="1" w:styleId="OZNPROJEKTUwskazaniedatylubwersjiprojektu">
    <w:name w:val="OZN_PROJEKTU – wskazanie daty lub wersji projektu"/>
    <w:next w:val="OZNRODZAKTUtznustawalubrozporzdzenieiorganwydajcy"/>
    <w:uiPriority w:val="5"/>
    <w:qFormat/>
    <w:rsid w:val="000261AE"/>
    <w:pPr>
      <w:spacing w:line="360" w:lineRule="auto"/>
      <w:jc w:val="right"/>
    </w:pPr>
    <w:rPr>
      <w:rFonts w:eastAsiaTheme="minorEastAsia" w:cs="Arial"/>
      <w:sz w:val="24"/>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27"/>
    <w:qFormat/>
    <w:rsid w:val="000261AE"/>
    <w:pPr>
      <w:ind w:left="4820"/>
    </w:pPr>
    <w:rPr>
      <w:spacing w:val="0"/>
    </w:rPr>
  </w:style>
  <w:style w:type="character" w:customStyle="1" w:styleId="IGindeksgrny">
    <w:name w:val="_IG_ – indeks górny"/>
    <w:basedOn w:val="Domylnaczcionkaakapitu"/>
    <w:uiPriority w:val="2"/>
    <w:qFormat/>
    <w:rsid w:val="000261AE"/>
    <w:rPr>
      <w:b w:val="0"/>
      <w:i w:val="0"/>
      <w:vanish w:val="0"/>
      <w:spacing w:val="0"/>
      <w:vertAlign w:val="superscript"/>
    </w:rPr>
  </w:style>
  <w:style w:type="character" w:customStyle="1" w:styleId="IGPindeksgrnyipogrubienie">
    <w:name w:val="_IG_P_ – indeks górny i pogrubienie"/>
    <w:basedOn w:val="Domylnaczcionkaakapitu"/>
    <w:uiPriority w:val="2"/>
    <w:qFormat/>
    <w:rsid w:val="000261AE"/>
    <w:rPr>
      <w:b/>
      <w:vanish w:val="0"/>
      <w:spacing w:val="0"/>
      <w:vertAlign w:val="superscript"/>
    </w:rPr>
  </w:style>
  <w:style w:type="character" w:customStyle="1" w:styleId="Ppogrubienie">
    <w:name w:val="_P_ – pogrubienie"/>
    <w:basedOn w:val="Domylnaczcionkaakapitu"/>
    <w:uiPriority w:val="1"/>
    <w:qFormat/>
    <w:rsid w:val="000261AE"/>
    <w:rPr>
      <w:b/>
    </w:rPr>
  </w:style>
  <w:style w:type="paragraph" w:styleId="Tekstdymka">
    <w:name w:val="Balloon Text"/>
    <w:basedOn w:val="Normalny"/>
    <w:link w:val="TekstdymkaZnak"/>
    <w:uiPriority w:val="99"/>
    <w:semiHidden/>
    <w:unhideWhenUsed/>
    <w:rsid w:val="0043691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6913"/>
    <w:rPr>
      <w:rFonts w:ascii="Tahoma" w:eastAsiaTheme="minorEastAsia" w:hAnsi="Tahoma" w:cs="Tahoma"/>
      <w:sz w:val="16"/>
      <w:szCs w:val="16"/>
      <w:lang w:eastAsia="pl-PL"/>
    </w:rPr>
  </w:style>
  <w:style w:type="character" w:styleId="Odwoaniedokomentarza">
    <w:name w:val="annotation reference"/>
    <w:basedOn w:val="Domylnaczcionkaakapitu"/>
    <w:uiPriority w:val="99"/>
    <w:unhideWhenUsed/>
    <w:rsid w:val="00621180"/>
    <w:rPr>
      <w:sz w:val="16"/>
      <w:szCs w:val="16"/>
    </w:rPr>
  </w:style>
  <w:style w:type="paragraph" w:styleId="Tekstkomentarza">
    <w:name w:val="annotation text"/>
    <w:basedOn w:val="Normalny"/>
    <w:link w:val="TekstkomentarzaZnak"/>
    <w:uiPriority w:val="99"/>
    <w:unhideWhenUsed/>
    <w:rsid w:val="00621180"/>
    <w:pPr>
      <w:spacing w:line="240" w:lineRule="auto"/>
    </w:pPr>
    <w:rPr>
      <w:sz w:val="20"/>
    </w:rPr>
  </w:style>
  <w:style w:type="character" w:customStyle="1" w:styleId="TekstkomentarzaZnak">
    <w:name w:val="Tekst komentarza Znak"/>
    <w:basedOn w:val="Domylnaczcionkaakapitu"/>
    <w:link w:val="Tekstkomentarza"/>
    <w:uiPriority w:val="99"/>
    <w:rsid w:val="00621180"/>
    <w:rPr>
      <w:rFonts w:eastAsiaTheme="minorEastAsia" w:cs="Arial"/>
      <w:lang w:eastAsia="pl-PL"/>
    </w:rPr>
  </w:style>
  <w:style w:type="paragraph" w:styleId="Tematkomentarza">
    <w:name w:val="annotation subject"/>
    <w:basedOn w:val="Tekstkomentarza"/>
    <w:next w:val="Tekstkomentarza"/>
    <w:link w:val="TematkomentarzaZnak"/>
    <w:uiPriority w:val="99"/>
    <w:semiHidden/>
    <w:unhideWhenUsed/>
    <w:rsid w:val="00621180"/>
    <w:rPr>
      <w:b/>
      <w:bCs/>
    </w:rPr>
  </w:style>
  <w:style w:type="character" w:customStyle="1" w:styleId="TematkomentarzaZnak">
    <w:name w:val="Temat komentarza Znak"/>
    <w:basedOn w:val="TekstkomentarzaZnak"/>
    <w:link w:val="Tematkomentarza"/>
    <w:uiPriority w:val="99"/>
    <w:semiHidden/>
    <w:rsid w:val="00621180"/>
    <w:rPr>
      <w:rFonts w:eastAsiaTheme="minorEastAsia" w:cs="Arial"/>
      <w:b/>
      <w:bCs/>
      <w:lang w:eastAsia="pl-PL"/>
    </w:rPr>
  </w:style>
  <w:style w:type="paragraph" w:styleId="Poprawka">
    <w:name w:val="Revision"/>
    <w:hidden/>
    <w:uiPriority w:val="99"/>
    <w:semiHidden/>
    <w:rsid w:val="00EA255C"/>
    <w:rPr>
      <w:rFonts w:eastAsiaTheme="minorEastAsia" w:cs="Arial"/>
      <w:sz w:val="24"/>
      <w:lang w:eastAsia="pl-PL"/>
    </w:rPr>
  </w:style>
  <w:style w:type="paragraph" w:styleId="Tekstprzypisudolnego">
    <w:name w:val="footnote text"/>
    <w:basedOn w:val="Normalny"/>
    <w:link w:val="TekstprzypisudolnegoZnak"/>
    <w:uiPriority w:val="99"/>
    <w:semiHidden/>
    <w:unhideWhenUsed/>
    <w:rsid w:val="00BE4D6C"/>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BE4D6C"/>
    <w:rPr>
      <w:rFonts w:eastAsiaTheme="minorEastAsia" w:cs="Arial"/>
      <w:lang w:eastAsia="pl-PL"/>
    </w:rPr>
  </w:style>
  <w:style w:type="paragraph" w:styleId="Stopka">
    <w:name w:val="footer"/>
    <w:basedOn w:val="Normalny"/>
    <w:link w:val="StopkaZnak"/>
    <w:uiPriority w:val="99"/>
    <w:unhideWhenUsed/>
    <w:rsid w:val="001F7E62"/>
    <w:pPr>
      <w:tabs>
        <w:tab w:val="center" w:pos="4536"/>
        <w:tab w:val="right" w:pos="9072"/>
      </w:tabs>
      <w:spacing w:line="240" w:lineRule="auto"/>
    </w:pPr>
  </w:style>
  <w:style w:type="character" w:customStyle="1" w:styleId="StopkaZnak">
    <w:name w:val="Stopka Znak"/>
    <w:basedOn w:val="Domylnaczcionkaakapitu"/>
    <w:link w:val="Stopka"/>
    <w:uiPriority w:val="99"/>
    <w:rsid w:val="001F7E62"/>
    <w:rPr>
      <w:rFonts w:eastAsiaTheme="minorEastAsia" w:cs="Arial"/>
      <w:sz w:val="24"/>
      <w:lang w:eastAsia="pl-PL"/>
    </w:rPr>
  </w:style>
  <w:style w:type="character" w:styleId="Tekstzastpczy">
    <w:name w:val="Placeholder Text"/>
    <w:basedOn w:val="Domylnaczcionkaakapitu"/>
    <w:uiPriority w:val="99"/>
    <w:semiHidden/>
    <w:rsid w:val="00783DE1"/>
    <w:rPr>
      <w:color w:val="808080"/>
    </w:rPr>
  </w:style>
  <w:style w:type="paragraph" w:styleId="Akapitzlist">
    <w:name w:val="List Paragraph"/>
    <w:basedOn w:val="Normalny"/>
    <w:uiPriority w:val="34"/>
    <w:qFormat/>
    <w:rsid w:val="00634968"/>
    <w:pPr>
      <w:ind w:left="720"/>
      <w:contextualSpacing/>
    </w:pPr>
  </w:style>
  <w:style w:type="character" w:styleId="Hipercze">
    <w:name w:val="Hyperlink"/>
    <w:basedOn w:val="Domylnaczcionkaakapitu"/>
    <w:uiPriority w:val="99"/>
    <w:unhideWhenUsed/>
    <w:rsid w:val="00F51842"/>
    <w:rPr>
      <w:color w:val="0000FF"/>
      <w:u w:val="single"/>
    </w:rPr>
  </w:style>
  <w:style w:type="paragraph" w:styleId="Bezodstpw">
    <w:name w:val="No Spacing"/>
    <w:uiPriority w:val="1"/>
    <w:qFormat/>
    <w:rsid w:val="0049162A"/>
    <w:pPr>
      <w:widowControl w:val="0"/>
      <w:autoSpaceDE w:val="0"/>
      <w:autoSpaceDN w:val="0"/>
      <w:adjustRightInd w:val="0"/>
    </w:pPr>
    <w:rPr>
      <w:rFonts w:ascii="A" w:hAnsi="A"/>
      <w:lang w:eastAsia="pl-PL"/>
    </w:rPr>
  </w:style>
  <w:style w:type="paragraph" w:styleId="Tekstprzypisukocowego">
    <w:name w:val="endnote text"/>
    <w:basedOn w:val="Normalny"/>
    <w:link w:val="TekstprzypisukocowegoZnak"/>
    <w:uiPriority w:val="99"/>
    <w:semiHidden/>
    <w:unhideWhenUsed/>
    <w:rsid w:val="00E67C5B"/>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E67C5B"/>
    <w:rPr>
      <w:rFonts w:eastAsiaTheme="minorEastAsia" w:cs="Arial"/>
      <w:lang w:eastAsia="pl-PL"/>
    </w:rPr>
  </w:style>
  <w:style w:type="character" w:styleId="Odwoanieprzypisukocowego">
    <w:name w:val="endnote reference"/>
    <w:basedOn w:val="Domylnaczcionkaakapitu"/>
    <w:uiPriority w:val="99"/>
    <w:semiHidden/>
    <w:unhideWhenUsed/>
    <w:rsid w:val="00E67C5B"/>
    <w:rPr>
      <w:vertAlign w:val="superscript"/>
    </w:rPr>
  </w:style>
  <w:style w:type="table" w:styleId="Tabela-Siatka">
    <w:name w:val="Table Grid"/>
    <w:basedOn w:val="Standardowy"/>
    <w:uiPriority w:val="39"/>
    <w:rsid w:val="003567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0060">
      <w:bodyDiv w:val="1"/>
      <w:marLeft w:val="0"/>
      <w:marRight w:val="0"/>
      <w:marTop w:val="0"/>
      <w:marBottom w:val="0"/>
      <w:divBdr>
        <w:top w:val="none" w:sz="0" w:space="0" w:color="auto"/>
        <w:left w:val="none" w:sz="0" w:space="0" w:color="auto"/>
        <w:bottom w:val="none" w:sz="0" w:space="0" w:color="auto"/>
        <w:right w:val="none" w:sz="0" w:space="0" w:color="auto"/>
      </w:divBdr>
    </w:div>
    <w:div w:id="159777018">
      <w:bodyDiv w:val="1"/>
      <w:marLeft w:val="0"/>
      <w:marRight w:val="0"/>
      <w:marTop w:val="0"/>
      <w:marBottom w:val="0"/>
      <w:divBdr>
        <w:top w:val="none" w:sz="0" w:space="0" w:color="auto"/>
        <w:left w:val="none" w:sz="0" w:space="0" w:color="auto"/>
        <w:bottom w:val="none" w:sz="0" w:space="0" w:color="auto"/>
        <w:right w:val="none" w:sz="0" w:space="0" w:color="auto"/>
      </w:divBdr>
    </w:div>
    <w:div w:id="425150618">
      <w:bodyDiv w:val="1"/>
      <w:marLeft w:val="0"/>
      <w:marRight w:val="0"/>
      <w:marTop w:val="0"/>
      <w:marBottom w:val="0"/>
      <w:divBdr>
        <w:top w:val="none" w:sz="0" w:space="0" w:color="auto"/>
        <w:left w:val="none" w:sz="0" w:space="0" w:color="auto"/>
        <w:bottom w:val="none" w:sz="0" w:space="0" w:color="auto"/>
        <w:right w:val="none" w:sz="0" w:space="0" w:color="auto"/>
      </w:divBdr>
    </w:div>
    <w:div w:id="770052592">
      <w:bodyDiv w:val="1"/>
      <w:marLeft w:val="0"/>
      <w:marRight w:val="0"/>
      <w:marTop w:val="0"/>
      <w:marBottom w:val="0"/>
      <w:divBdr>
        <w:top w:val="none" w:sz="0" w:space="0" w:color="auto"/>
        <w:left w:val="none" w:sz="0" w:space="0" w:color="auto"/>
        <w:bottom w:val="none" w:sz="0" w:space="0" w:color="auto"/>
        <w:right w:val="none" w:sz="0" w:space="0" w:color="auto"/>
      </w:divBdr>
    </w:div>
    <w:div w:id="879324766">
      <w:bodyDiv w:val="1"/>
      <w:marLeft w:val="0"/>
      <w:marRight w:val="0"/>
      <w:marTop w:val="0"/>
      <w:marBottom w:val="0"/>
      <w:divBdr>
        <w:top w:val="none" w:sz="0" w:space="0" w:color="auto"/>
        <w:left w:val="none" w:sz="0" w:space="0" w:color="auto"/>
        <w:bottom w:val="none" w:sz="0" w:space="0" w:color="auto"/>
        <w:right w:val="none" w:sz="0" w:space="0" w:color="auto"/>
      </w:divBdr>
    </w:div>
    <w:div w:id="889805950">
      <w:bodyDiv w:val="1"/>
      <w:marLeft w:val="0"/>
      <w:marRight w:val="0"/>
      <w:marTop w:val="0"/>
      <w:marBottom w:val="0"/>
      <w:divBdr>
        <w:top w:val="none" w:sz="0" w:space="0" w:color="auto"/>
        <w:left w:val="none" w:sz="0" w:space="0" w:color="auto"/>
        <w:bottom w:val="none" w:sz="0" w:space="0" w:color="auto"/>
        <w:right w:val="none" w:sz="0" w:space="0" w:color="auto"/>
      </w:divBdr>
    </w:div>
    <w:div w:id="947391631">
      <w:bodyDiv w:val="1"/>
      <w:marLeft w:val="0"/>
      <w:marRight w:val="0"/>
      <w:marTop w:val="0"/>
      <w:marBottom w:val="0"/>
      <w:divBdr>
        <w:top w:val="none" w:sz="0" w:space="0" w:color="auto"/>
        <w:left w:val="none" w:sz="0" w:space="0" w:color="auto"/>
        <w:bottom w:val="none" w:sz="0" w:space="0" w:color="auto"/>
        <w:right w:val="none" w:sz="0" w:space="0" w:color="auto"/>
      </w:divBdr>
    </w:div>
    <w:div w:id="973682776">
      <w:bodyDiv w:val="1"/>
      <w:marLeft w:val="0"/>
      <w:marRight w:val="0"/>
      <w:marTop w:val="0"/>
      <w:marBottom w:val="0"/>
      <w:divBdr>
        <w:top w:val="none" w:sz="0" w:space="0" w:color="auto"/>
        <w:left w:val="none" w:sz="0" w:space="0" w:color="auto"/>
        <w:bottom w:val="none" w:sz="0" w:space="0" w:color="auto"/>
        <w:right w:val="none" w:sz="0" w:space="0" w:color="auto"/>
      </w:divBdr>
    </w:div>
    <w:div w:id="993873726">
      <w:bodyDiv w:val="1"/>
      <w:marLeft w:val="0"/>
      <w:marRight w:val="0"/>
      <w:marTop w:val="0"/>
      <w:marBottom w:val="0"/>
      <w:divBdr>
        <w:top w:val="none" w:sz="0" w:space="0" w:color="auto"/>
        <w:left w:val="none" w:sz="0" w:space="0" w:color="auto"/>
        <w:bottom w:val="none" w:sz="0" w:space="0" w:color="auto"/>
        <w:right w:val="none" w:sz="0" w:space="0" w:color="auto"/>
      </w:divBdr>
    </w:div>
    <w:div w:id="1015768459">
      <w:bodyDiv w:val="1"/>
      <w:marLeft w:val="0"/>
      <w:marRight w:val="0"/>
      <w:marTop w:val="0"/>
      <w:marBottom w:val="0"/>
      <w:divBdr>
        <w:top w:val="none" w:sz="0" w:space="0" w:color="auto"/>
        <w:left w:val="none" w:sz="0" w:space="0" w:color="auto"/>
        <w:bottom w:val="none" w:sz="0" w:space="0" w:color="auto"/>
        <w:right w:val="none" w:sz="0" w:space="0" w:color="auto"/>
      </w:divBdr>
    </w:div>
    <w:div w:id="1052538398">
      <w:bodyDiv w:val="1"/>
      <w:marLeft w:val="0"/>
      <w:marRight w:val="0"/>
      <w:marTop w:val="0"/>
      <w:marBottom w:val="0"/>
      <w:divBdr>
        <w:top w:val="none" w:sz="0" w:space="0" w:color="auto"/>
        <w:left w:val="none" w:sz="0" w:space="0" w:color="auto"/>
        <w:bottom w:val="none" w:sz="0" w:space="0" w:color="auto"/>
        <w:right w:val="none" w:sz="0" w:space="0" w:color="auto"/>
      </w:divBdr>
    </w:div>
    <w:div w:id="1141578135">
      <w:bodyDiv w:val="1"/>
      <w:marLeft w:val="0"/>
      <w:marRight w:val="0"/>
      <w:marTop w:val="0"/>
      <w:marBottom w:val="0"/>
      <w:divBdr>
        <w:top w:val="none" w:sz="0" w:space="0" w:color="auto"/>
        <w:left w:val="none" w:sz="0" w:space="0" w:color="auto"/>
        <w:bottom w:val="none" w:sz="0" w:space="0" w:color="auto"/>
        <w:right w:val="none" w:sz="0" w:space="0" w:color="auto"/>
      </w:divBdr>
    </w:div>
    <w:div w:id="1143692528">
      <w:bodyDiv w:val="1"/>
      <w:marLeft w:val="0"/>
      <w:marRight w:val="0"/>
      <w:marTop w:val="0"/>
      <w:marBottom w:val="0"/>
      <w:divBdr>
        <w:top w:val="none" w:sz="0" w:space="0" w:color="auto"/>
        <w:left w:val="none" w:sz="0" w:space="0" w:color="auto"/>
        <w:bottom w:val="none" w:sz="0" w:space="0" w:color="auto"/>
        <w:right w:val="none" w:sz="0" w:space="0" w:color="auto"/>
      </w:divBdr>
    </w:div>
    <w:div w:id="1333220122">
      <w:bodyDiv w:val="1"/>
      <w:marLeft w:val="0"/>
      <w:marRight w:val="0"/>
      <w:marTop w:val="0"/>
      <w:marBottom w:val="0"/>
      <w:divBdr>
        <w:top w:val="none" w:sz="0" w:space="0" w:color="auto"/>
        <w:left w:val="none" w:sz="0" w:space="0" w:color="auto"/>
        <w:bottom w:val="none" w:sz="0" w:space="0" w:color="auto"/>
        <w:right w:val="none" w:sz="0" w:space="0" w:color="auto"/>
      </w:divBdr>
    </w:div>
    <w:div w:id="1381394339">
      <w:bodyDiv w:val="1"/>
      <w:marLeft w:val="0"/>
      <w:marRight w:val="0"/>
      <w:marTop w:val="0"/>
      <w:marBottom w:val="0"/>
      <w:divBdr>
        <w:top w:val="none" w:sz="0" w:space="0" w:color="auto"/>
        <w:left w:val="none" w:sz="0" w:space="0" w:color="auto"/>
        <w:bottom w:val="none" w:sz="0" w:space="0" w:color="auto"/>
        <w:right w:val="none" w:sz="0" w:space="0" w:color="auto"/>
      </w:divBdr>
    </w:div>
    <w:div w:id="1400907300">
      <w:bodyDiv w:val="1"/>
      <w:marLeft w:val="0"/>
      <w:marRight w:val="0"/>
      <w:marTop w:val="0"/>
      <w:marBottom w:val="0"/>
      <w:divBdr>
        <w:top w:val="none" w:sz="0" w:space="0" w:color="auto"/>
        <w:left w:val="none" w:sz="0" w:space="0" w:color="auto"/>
        <w:bottom w:val="none" w:sz="0" w:space="0" w:color="auto"/>
        <w:right w:val="none" w:sz="0" w:space="0" w:color="auto"/>
      </w:divBdr>
    </w:div>
    <w:div w:id="1489905480">
      <w:bodyDiv w:val="1"/>
      <w:marLeft w:val="0"/>
      <w:marRight w:val="0"/>
      <w:marTop w:val="0"/>
      <w:marBottom w:val="0"/>
      <w:divBdr>
        <w:top w:val="none" w:sz="0" w:space="0" w:color="auto"/>
        <w:left w:val="none" w:sz="0" w:space="0" w:color="auto"/>
        <w:bottom w:val="none" w:sz="0" w:space="0" w:color="auto"/>
        <w:right w:val="none" w:sz="0" w:space="0" w:color="auto"/>
      </w:divBdr>
    </w:div>
    <w:div w:id="1523977617">
      <w:bodyDiv w:val="1"/>
      <w:marLeft w:val="0"/>
      <w:marRight w:val="0"/>
      <w:marTop w:val="0"/>
      <w:marBottom w:val="0"/>
      <w:divBdr>
        <w:top w:val="none" w:sz="0" w:space="0" w:color="auto"/>
        <w:left w:val="none" w:sz="0" w:space="0" w:color="auto"/>
        <w:bottom w:val="none" w:sz="0" w:space="0" w:color="auto"/>
        <w:right w:val="none" w:sz="0" w:space="0" w:color="auto"/>
      </w:divBdr>
    </w:div>
    <w:div w:id="1528566512">
      <w:bodyDiv w:val="1"/>
      <w:marLeft w:val="0"/>
      <w:marRight w:val="0"/>
      <w:marTop w:val="0"/>
      <w:marBottom w:val="0"/>
      <w:divBdr>
        <w:top w:val="none" w:sz="0" w:space="0" w:color="auto"/>
        <w:left w:val="none" w:sz="0" w:space="0" w:color="auto"/>
        <w:bottom w:val="none" w:sz="0" w:space="0" w:color="auto"/>
        <w:right w:val="none" w:sz="0" w:space="0" w:color="auto"/>
      </w:divBdr>
    </w:div>
    <w:div w:id="1533569479">
      <w:bodyDiv w:val="1"/>
      <w:marLeft w:val="0"/>
      <w:marRight w:val="0"/>
      <w:marTop w:val="0"/>
      <w:marBottom w:val="0"/>
      <w:divBdr>
        <w:top w:val="none" w:sz="0" w:space="0" w:color="auto"/>
        <w:left w:val="none" w:sz="0" w:space="0" w:color="auto"/>
        <w:bottom w:val="none" w:sz="0" w:space="0" w:color="auto"/>
        <w:right w:val="none" w:sz="0" w:space="0" w:color="auto"/>
      </w:divBdr>
    </w:div>
    <w:div w:id="1551846436">
      <w:bodyDiv w:val="1"/>
      <w:marLeft w:val="0"/>
      <w:marRight w:val="0"/>
      <w:marTop w:val="0"/>
      <w:marBottom w:val="0"/>
      <w:divBdr>
        <w:top w:val="none" w:sz="0" w:space="0" w:color="auto"/>
        <w:left w:val="none" w:sz="0" w:space="0" w:color="auto"/>
        <w:bottom w:val="none" w:sz="0" w:space="0" w:color="auto"/>
        <w:right w:val="none" w:sz="0" w:space="0" w:color="auto"/>
      </w:divBdr>
    </w:div>
    <w:div w:id="1578130717">
      <w:bodyDiv w:val="1"/>
      <w:marLeft w:val="0"/>
      <w:marRight w:val="0"/>
      <w:marTop w:val="0"/>
      <w:marBottom w:val="0"/>
      <w:divBdr>
        <w:top w:val="none" w:sz="0" w:space="0" w:color="auto"/>
        <w:left w:val="none" w:sz="0" w:space="0" w:color="auto"/>
        <w:bottom w:val="none" w:sz="0" w:space="0" w:color="auto"/>
        <w:right w:val="none" w:sz="0" w:space="0" w:color="auto"/>
      </w:divBdr>
    </w:div>
    <w:div w:id="1676104359">
      <w:bodyDiv w:val="1"/>
      <w:marLeft w:val="0"/>
      <w:marRight w:val="0"/>
      <w:marTop w:val="0"/>
      <w:marBottom w:val="0"/>
      <w:divBdr>
        <w:top w:val="none" w:sz="0" w:space="0" w:color="auto"/>
        <w:left w:val="none" w:sz="0" w:space="0" w:color="auto"/>
        <w:bottom w:val="none" w:sz="0" w:space="0" w:color="auto"/>
        <w:right w:val="none" w:sz="0" w:space="0" w:color="auto"/>
      </w:divBdr>
    </w:div>
    <w:div w:id="1848057033">
      <w:bodyDiv w:val="1"/>
      <w:marLeft w:val="0"/>
      <w:marRight w:val="0"/>
      <w:marTop w:val="0"/>
      <w:marBottom w:val="0"/>
      <w:divBdr>
        <w:top w:val="none" w:sz="0" w:space="0" w:color="auto"/>
        <w:left w:val="none" w:sz="0" w:space="0" w:color="auto"/>
        <w:bottom w:val="none" w:sz="0" w:space="0" w:color="auto"/>
        <w:right w:val="none" w:sz="0" w:space="0" w:color="auto"/>
      </w:divBdr>
    </w:div>
    <w:div w:id="204702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gdalena.Porzycka@mib.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C7D2E98665CC944B31B8A40A0A578B1" ma:contentTypeVersion="14" ma:contentTypeDescription="Utwórz nowy dokument." ma:contentTypeScope="" ma:versionID="e0b29edc9ed489ba1c4041378013d788">
  <xsd:schema xmlns:xsd="http://www.w3.org/2001/XMLSchema" xmlns:xs="http://www.w3.org/2001/XMLSchema" xmlns:p="http://schemas.microsoft.com/office/2006/metadata/properties" xmlns:ns3="f8e1b11a-b6c5-4072-8996-1f8c30101abf" xmlns:ns4="97a072b7-a0c1-45f1-8637-9f1be3dd9146" targetNamespace="http://schemas.microsoft.com/office/2006/metadata/properties" ma:root="true" ma:fieldsID="767f75823918c8675c4f0ba79aeef965" ns3:_="" ns4:_="">
    <xsd:import namespace="f8e1b11a-b6c5-4072-8996-1f8c30101abf"/>
    <xsd:import namespace="97a072b7-a0c1-45f1-8637-9f1be3dd91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1b11a-b6c5-4072-8996-1f8c30101ab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072b7-a0c1-45f1-8637-9f1be3dd91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6B20E-78D9-4C6E-833B-1F4AD5CA1B81}">
  <ds:schemaRefs>
    <ds:schemaRef ds:uri="http://schemas.microsoft.com/sharepoint/v3/contenttype/forms"/>
  </ds:schemaRefs>
</ds:datastoreItem>
</file>

<file path=customXml/itemProps2.xml><?xml version="1.0" encoding="utf-8"?>
<ds:datastoreItem xmlns:ds="http://schemas.openxmlformats.org/officeDocument/2006/customXml" ds:itemID="{EA1B4B0D-FBC3-46E9-8D8F-65A5A304A6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3B724D-AEEC-4367-BB0E-4C8A756D9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1b11a-b6c5-4072-8996-1f8c30101abf"/>
    <ds:schemaRef ds:uri="97a072b7-a0c1-45f1-8637-9f1be3dd9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07D4B7-9800-4EFA-B1D8-AF66D51BC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11342</Words>
  <Characters>68054</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Blazejczyk Anna</dc:creator>
  <cp:lastModifiedBy>Iwanicka Anna</cp:lastModifiedBy>
  <cp:revision>6</cp:revision>
  <cp:lastPrinted>2021-07-28T10:19:00Z</cp:lastPrinted>
  <dcterms:created xsi:type="dcterms:W3CDTF">2023-03-14T09:37:00Z</dcterms:created>
  <dcterms:modified xsi:type="dcterms:W3CDTF">2023-03-14T10:35:00Z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0x0101005C7D2E98665CC944B31B8A40A0A578B1</vt:lpwstr>
  </property>
</Properties>
</file>